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5F11D2" w:rsidRPr="005F11D2" w:rsidTr="009D065A">
        <w:tc>
          <w:tcPr>
            <w:tcW w:w="3331" w:type="dxa"/>
          </w:tcPr>
          <w:p w:rsidR="005F11D2" w:rsidRPr="0084191F" w:rsidRDefault="005F11D2" w:rsidP="0084191F">
            <w:pPr>
              <w:spacing w:line="245" w:lineRule="auto"/>
              <w:ind w:left="142"/>
              <w:rPr>
                <w:color w:val="0070C0"/>
                <w:sz w:val="18"/>
              </w:rPr>
            </w:pPr>
          </w:p>
        </w:tc>
        <w:tc>
          <w:tcPr>
            <w:tcW w:w="2693" w:type="dxa"/>
          </w:tcPr>
          <w:p w:rsidR="005F11D2" w:rsidRPr="005F11D2" w:rsidRDefault="005F11D2" w:rsidP="005F11D2">
            <w:pPr>
              <w:spacing w:line="245" w:lineRule="auto"/>
              <w:ind w:left="0"/>
              <w:jc w:val="center"/>
              <w:rPr>
                <w:sz w:val="18"/>
              </w:rPr>
            </w:pPr>
            <w:r w:rsidRPr="005F11D2">
              <w:rPr>
                <w:sz w:val="18"/>
              </w:rPr>
              <w:t>REPUBLIQUE F</w:t>
            </w:r>
            <w:bookmarkStart w:id="0" w:name="_GoBack"/>
            <w:bookmarkEnd w:id="0"/>
            <w:r w:rsidRPr="005F11D2">
              <w:rPr>
                <w:sz w:val="18"/>
              </w:rPr>
              <w:t>RANCAISE</w:t>
            </w:r>
          </w:p>
        </w:tc>
        <w:tc>
          <w:tcPr>
            <w:tcW w:w="3685" w:type="dxa"/>
          </w:tcPr>
          <w:p w:rsidR="005F11D2" w:rsidRPr="005F11D2" w:rsidRDefault="005F11D2" w:rsidP="009D065A">
            <w:pPr>
              <w:spacing w:line="245" w:lineRule="auto"/>
              <w:rPr>
                <w:sz w:val="18"/>
              </w:rPr>
            </w:pPr>
          </w:p>
        </w:tc>
      </w:tr>
      <w:tr w:rsidR="005F11D2" w:rsidRPr="00FD20D1" w:rsidTr="009D065A">
        <w:tc>
          <w:tcPr>
            <w:tcW w:w="3331" w:type="dxa"/>
          </w:tcPr>
          <w:p w:rsidR="005F11D2" w:rsidRPr="0084191F" w:rsidRDefault="005F11D2" w:rsidP="0084191F">
            <w:pPr>
              <w:spacing w:line="245" w:lineRule="auto"/>
              <w:ind w:left="142"/>
              <w:jc w:val="center"/>
              <w:rPr>
                <w:color w:val="0070C0"/>
                <w:sz w:val="18"/>
              </w:rPr>
            </w:pPr>
            <w:r w:rsidRPr="0084191F">
              <w:rPr>
                <w:color w:val="0070C0"/>
                <w:sz w:val="18"/>
              </w:rPr>
              <w:t>COLLECTIVITE</w:t>
            </w:r>
          </w:p>
          <w:p w:rsidR="005F11D2" w:rsidRPr="0084191F" w:rsidRDefault="005F11D2" w:rsidP="0084191F">
            <w:pPr>
              <w:spacing w:line="245" w:lineRule="auto"/>
              <w:ind w:left="142"/>
              <w:jc w:val="center"/>
              <w:rPr>
                <w:color w:val="0070C0"/>
                <w:sz w:val="18"/>
              </w:rPr>
            </w:pPr>
            <w:r w:rsidRPr="0084191F">
              <w:rPr>
                <w:color w:val="0070C0"/>
                <w:sz w:val="18"/>
              </w:rPr>
              <w:t>------</w:t>
            </w:r>
          </w:p>
          <w:p w:rsidR="005F11D2" w:rsidRPr="0084191F" w:rsidRDefault="005F11D2" w:rsidP="0084191F">
            <w:pPr>
              <w:spacing w:line="245" w:lineRule="auto"/>
              <w:ind w:left="142"/>
              <w:jc w:val="center"/>
              <w:rPr>
                <w:color w:val="0070C0"/>
                <w:sz w:val="18"/>
              </w:rPr>
            </w:pPr>
            <w:r w:rsidRPr="0084191F">
              <w:rPr>
                <w:color w:val="0070C0"/>
                <w:sz w:val="18"/>
              </w:rPr>
              <w:t xml:space="preserve">DIRECTION </w:t>
            </w:r>
          </w:p>
          <w:p w:rsidR="005F11D2" w:rsidRPr="0084191F" w:rsidRDefault="005F11D2" w:rsidP="0084191F">
            <w:pPr>
              <w:spacing w:line="245" w:lineRule="auto"/>
              <w:ind w:left="142"/>
              <w:jc w:val="center"/>
              <w:rPr>
                <w:color w:val="0070C0"/>
                <w:sz w:val="18"/>
              </w:rPr>
            </w:pPr>
            <w:r w:rsidRPr="0084191F">
              <w:rPr>
                <w:color w:val="0070C0"/>
                <w:sz w:val="18"/>
              </w:rPr>
              <w:t>------</w:t>
            </w:r>
          </w:p>
          <w:p w:rsidR="005F11D2" w:rsidRPr="0084191F" w:rsidRDefault="005F11D2" w:rsidP="0084191F">
            <w:pPr>
              <w:spacing w:line="245" w:lineRule="auto"/>
              <w:ind w:left="142"/>
              <w:jc w:val="center"/>
              <w:rPr>
                <w:color w:val="0070C0"/>
                <w:sz w:val="18"/>
              </w:rPr>
            </w:pPr>
            <w:r w:rsidRPr="0084191F">
              <w:rPr>
                <w:color w:val="0070C0"/>
                <w:sz w:val="18"/>
              </w:rPr>
              <w:t xml:space="preserve">SERVICE </w:t>
            </w:r>
          </w:p>
          <w:p w:rsidR="005F11D2" w:rsidRPr="0084191F" w:rsidRDefault="005F11D2" w:rsidP="0084191F">
            <w:pPr>
              <w:spacing w:line="245" w:lineRule="auto"/>
              <w:ind w:left="142"/>
              <w:jc w:val="center"/>
              <w:rPr>
                <w:color w:val="0070C0"/>
                <w:sz w:val="18"/>
              </w:rPr>
            </w:pPr>
          </w:p>
          <w:p w:rsidR="005F11D2" w:rsidRPr="0084191F" w:rsidRDefault="005F11D2" w:rsidP="0084191F">
            <w:pPr>
              <w:spacing w:line="245" w:lineRule="auto"/>
              <w:ind w:left="142" w:right="-70"/>
              <w:jc w:val="center"/>
              <w:rPr>
                <w:i/>
                <w:color w:val="0070C0"/>
                <w:sz w:val="18"/>
              </w:rPr>
            </w:pPr>
          </w:p>
        </w:tc>
        <w:tc>
          <w:tcPr>
            <w:tcW w:w="2693" w:type="dxa"/>
          </w:tcPr>
          <w:p w:rsidR="005F11D2" w:rsidRPr="00FD20D1" w:rsidRDefault="005F11D2" w:rsidP="009D065A">
            <w:pPr>
              <w:spacing w:line="245" w:lineRule="auto"/>
              <w:rPr>
                <w:sz w:val="18"/>
              </w:rPr>
            </w:pPr>
          </w:p>
        </w:tc>
        <w:tc>
          <w:tcPr>
            <w:tcW w:w="3685" w:type="dxa"/>
          </w:tcPr>
          <w:p w:rsidR="005F11D2" w:rsidRPr="00FD20D1" w:rsidRDefault="005F11D2" w:rsidP="009D065A">
            <w:pPr>
              <w:spacing w:line="245" w:lineRule="auto"/>
              <w:ind w:left="-70" w:right="-70"/>
              <w:jc w:val="center"/>
              <w:rPr>
                <w:b/>
                <w:sz w:val="18"/>
              </w:rPr>
            </w:pPr>
            <w:r>
              <w:rPr>
                <w:b/>
                <w:noProof/>
                <w:sz w:val="18"/>
              </w:rPr>
              <w:t>LOGO</w:t>
            </w:r>
          </w:p>
        </w:tc>
      </w:tr>
    </w:tbl>
    <w:p w:rsidR="005F11D2" w:rsidRPr="00C747C2" w:rsidRDefault="005F11D2" w:rsidP="005F11D2">
      <w:pPr>
        <w:spacing w:line="245" w:lineRule="auto"/>
      </w:pPr>
    </w:p>
    <w:p w:rsidR="005F11D2" w:rsidRDefault="005F11D2" w:rsidP="005F11D2">
      <w:pPr>
        <w:spacing w:line="245" w:lineRule="auto"/>
        <w:jc w:val="center"/>
        <w:rPr>
          <w:b/>
        </w:rPr>
      </w:pPr>
    </w:p>
    <w:p w:rsidR="005F11D2" w:rsidRPr="00C747C2" w:rsidRDefault="005F11D2" w:rsidP="005F11D2">
      <w:pPr>
        <w:spacing w:line="245" w:lineRule="auto"/>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Pr="00201BC5" w:rsidRDefault="005F11D2" w:rsidP="005F11D2">
      <w:pPr>
        <w:ind w:left="0"/>
        <w:jc w:val="center"/>
        <w:rPr>
          <w:b/>
          <w:color w:val="0070C0"/>
        </w:rPr>
      </w:pPr>
      <w:r w:rsidRPr="00201BC5">
        <w:rPr>
          <w:b/>
          <w:color w:val="0070C0"/>
        </w:rPr>
        <w:t>OBJET DU MARCHÉ :</w:t>
      </w:r>
    </w:p>
    <w:p w:rsidR="005F11D2" w:rsidRDefault="005F11D2" w:rsidP="005F11D2">
      <w:pPr>
        <w:ind w:left="0"/>
        <w:jc w:val="center"/>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rPr>
          <w:b/>
        </w:rPr>
      </w:pPr>
    </w:p>
    <w:p w:rsidR="005F11D2" w:rsidRDefault="005F11D2" w:rsidP="005F11D2">
      <w:pPr>
        <w:spacing w:line="245" w:lineRule="auto"/>
        <w:ind w:left="0"/>
        <w:jc w:val="center"/>
        <w:rPr>
          <w:b/>
        </w:rPr>
      </w:pPr>
      <w:r>
        <w:rPr>
          <w:b/>
        </w:rPr>
        <w:t>Pièce 2 – CAHIER DES CLAUSES ADMINISTRATIVES PARTICULIERES</w:t>
      </w:r>
    </w:p>
    <w:p w:rsidR="005F11D2" w:rsidRPr="00C747C2" w:rsidRDefault="005F11D2" w:rsidP="005F11D2">
      <w:pPr>
        <w:spacing w:line="245" w:lineRule="auto"/>
        <w:ind w:left="0"/>
        <w:jc w:val="center"/>
      </w:pPr>
      <w:r>
        <w:rPr>
          <w:b/>
        </w:rPr>
        <w:t>(CCAP)</w:t>
      </w:r>
    </w:p>
    <w:p w:rsidR="005F11D2" w:rsidRPr="00C747C2" w:rsidRDefault="005F11D2" w:rsidP="005F11D2">
      <w:pPr>
        <w:spacing w:line="245" w:lineRule="auto"/>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p w:rsidR="005F11D2" w:rsidRDefault="005F11D2" w:rsidP="005F11D2">
      <w:pPr>
        <w:spacing w:line="245" w:lineRule="auto"/>
        <w:jc w:val="left"/>
        <w:rPr>
          <w:b/>
          <w:sz w:val="21"/>
          <w:szCs w:val="21"/>
        </w:rPr>
      </w:pPr>
    </w:p>
    <w:sdt>
      <w:sdtPr>
        <w:rPr>
          <w:rFonts w:ascii="Times New Roman" w:eastAsia="Times New Roman" w:hAnsi="Times New Roman" w:cs="Times New Roman"/>
          <w:b w:val="0"/>
          <w:bCs w:val="0"/>
          <w:color w:val="auto"/>
          <w:sz w:val="22"/>
          <w:szCs w:val="22"/>
        </w:rPr>
        <w:id w:val="1622575711"/>
        <w:docPartObj>
          <w:docPartGallery w:val="Table of Contents"/>
          <w:docPartUnique/>
        </w:docPartObj>
      </w:sdtPr>
      <w:sdtEndPr/>
      <w:sdtContent>
        <w:p w:rsidR="002565F1" w:rsidRPr="002565F1" w:rsidRDefault="002565F1">
          <w:pPr>
            <w:pStyle w:val="En-ttedetabledesmatires"/>
            <w:rPr>
              <w:rFonts w:ascii="Times New Roman" w:hAnsi="Times New Roman" w:cs="Times New Roman"/>
              <w:b w:val="0"/>
              <w:color w:val="auto"/>
            </w:rPr>
          </w:pPr>
          <w:r w:rsidRPr="002565F1">
            <w:rPr>
              <w:rFonts w:ascii="Times New Roman" w:hAnsi="Times New Roman" w:cs="Times New Roman"/>
              <w:b w:val="0"/>
              <w:color w:val="auto"/>
            </w:rPr>
            <w:t>Table des matières</w:t>
          </w:r>
        </w:p>
        <w:p w:rsidR="00555941" w:rsidRDefault="002565F1">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"1-4" \h \z \t "0 ENTETE;1;1 NIV 1;2;2 NIV 2;3;3 NIV 3;4" </w:instrText>
          </w:r>
          <w:r>
            <w:fldChar w:fldCharType="separate"/>
          </w:r>
          <w:hyperlink w:anchor="_Toc60319465" w:history="1">
            <w:r w:rsidR="00555941" w:rsidRPr="00DF188F">
              <w:rPr>
                <w:rStyle w:val="Lienhypertexte"/>
                <w:rFonts w:eastAsiaTheme="majorEastAsia"/>
                <w:noProof/>
              </w:rPr>
              <w:t>ARTICLE 1 – OBJET ET CARACTERISTIQUES DU MARCHÉ</w:t>
            </w:r>
            <w:r w:rsidR="00555941">
              <w:rPr>
                <w:noProof/>
                <w:webHidden/>
              </w:rPr>
              <w:tab/>
            </w:r>
            <w:r w:rsidR="00555941">
              <w:rPr>
                <w:noProof/>
                <w:webHidden/>
              </w:rPr>
              <w:fldChar w:fldCharType="begin"/>
            </w:r>
            <w:r w:rsidR="00555941">
              <w:rPr>
                <w:noProof/>
                <w:webHidden/>
              </w:rPr>
              <w:instrText xml:space="preserve"> PAGEREF _Toc60319465 \h </w:instrText>
            </w:r>
            <w:r w:rsidR="00555941">
              <w:rPr>
                <w:noProof/>
                <w:webHidden/>
              </w:rPr>
            </w:r>
            <w:r w:rsidR="00555941">
              <w:rPr>
                <w:noProof/>
                <w:webHidden/>
              </w:rPr>
              <w:fldChar w:fldCharType="separate"/>
            </w:r>
            <w:r w:rsidR="00555941">
              <w:rPr>
                <w:noProof/>
                <w:webHidden/>
              </w:rPr>
              <w:t>5</w:t>
            </w:r>
            <w:r w:rsidR="00555941">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66" w:history="1">
            <w:r w:rsidRPr="00DF188F">
              <w:rPr>
                <w:rStyle w:val="Lienhypertexte"/>
                <w:rFonts w:eastAsiaTheme="majorEastAsia"/>
                <w:noProof/>
              </w:rPr>
              <w:t>1.1 – OBJET DU MARCHE</w:t>
            </w:r>
            <w:r>
              <w:rPr>
                <w:noProof/>
                <w:webHidden/>
              </w:rPr>
              <w:tab/>
            </w:r>
            <w:r>
              <w:rPr>
                <w:noProof/>
                <w:webHidden/>
              </w:rPr>
              <w:fldChar w:fldCharType="begin"/>
            </w:r>
            <w:r>
              <w:rPr>
                <w:noProof/>
                <w:webHidden/>
              </w:rPr>
              <w:instrText xml:space="preserve"> PAGEREF _Toc60319466 \h </w:instrText>
            </w:r>
            <w:r>
              <w:rPr>
                <w:noProof/>
                <w:webHidden/>
              </w:rPr>
            </w:r>
            <w:r>
              <w:rPr>
                <w:noProof/>
                <w:webHidden/>
              </w:rPr>
              <w:fldChar w:fldCharType="separate"/>
            </w:r>
            <w:r>
              <w:rPr>
                <w:noProof/>
                <w:webHidden/>
              </w:rPr>
              <w:t>5</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67" w:history="1">
            <w:r w:rsidRPr="00DF188F">
              <w:rPr>
                <w:rStyle w:val="Lienhypertexte"/>
                <w:rFonts w:eastAsiaTheme="majorEastAsia"/>
                <w:noProof/>
              </w:rPr>
              <w:t>1.2 – LOTS</w:t>
            </w:r>
            <w:r>
              <w:rPr>
                <w:noProof/>
                <w:webHidden/>
              </w:rPr>
              <w:tab/>
            </w:r>
            <w:r>
              <w:rPr>
                <w:noProof/>
                <w:webHidden/>
              </w:rPr>
              <w:fldChar w:fldCharType="begin"/>
            </w:r>
            <w:r>
              <w:rPr>
                <w:noProof/>
                <w:webHidden/>
              </w:rPr>
              <w:instrText xml:space="preserve"> PAGEREF _Toc60319467 \h </w:instrText>
            </w:r>
            <w:r>
              <w:rPr>
                <w:noProof/>
                <w:webHidden/>
              </w:rPr>
            </w:r>
            <w:r>
              <w:rPr>
                <w:noProof/>
                <w:webHidden/>
              </w:rPr>
              <w:fldChar w:fldCharType="separate"/>
            </w:r>
            <w:r>
              <w:rPr>
                <w:noProof/>
                <w:webHidden/>
              </w:rPr>
              <w:t>5</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68" w:history="1">
            <w:r w:rsidRPr="00DF188F">
              <w:rPr>
                <w:rStyle w:val="Lienhypertexte"/>
                <w:rFonts w:eastAsiaTheme="majorEastAsia"/>
                <w:noProof/>
              </w:rPr>
              <w:t>1.3 – TRANCHES</w:t>
            </w:r>
            <w:r>
              <w:rPr>
                <w:noProof/>
                <w:webHidden/>
              </w:rPr>
              <w:tab/>
            </w:r>
            <w:r>
              <w:rPr>
                <w:noProof/>
                <w:webHidden/>
              </w:rPr>
              <w:fldChar w:fldCharType="begin"/>
            </w:r>
            <w:r>
              <w:rPr>
                <w:noProof/>
                <w:webHidden/>
              </w:rPr>
              <w:instrText xml:space="preserve"> PAGEREF _Toc60319468 \h </w:instrText>
            </w:r>
            <w:r>
              <w:rPr>
                <w:noProof/>
                <w:webHidden/>
              </w:rPr>
            </w:r>
            <w:r>
              <w:rPr>
                <w:noProof/>
                <w:webHidden/>
              </w:rPr>
              <w:fldChar w:fldCharType="separate"/>
            </w:r>
            <w:r>
              <w:rPr>
                <w:noProof/>
                <w:webHidden/>
              </w:rPr>
              <w:t>5</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69" w:history="1">
            <w:r w:rsidRPr="00DF188F">
              <w:rPr>
                <w:rStyle w:val="Lienhypertexte"/>
                <w:rFonts w:eastAsiaTheme="majorEastAsia"/>
                <w:noProof/>
              </w:rPr>
              <w:t>1.4 –OPTIONS</w:t>
            </w:r>
            <w:r>
              <w:rPr>
                <w:noProof/>
                <w:webHidden/>
              </w:rPr>
              <w:tab/>
            </w:r>
            <w:r>
              <w:rPr>
                <w:noProof/>
                <w:webHidden/>
              </w:rPr>
              <w:fldChar w:fldCharType="begin"/>
            </w:r>
            <w:r>
              <w:rPr>
                <w:noProof/>
                <w:webHidden/>
              </w:rPr>
              <w:instrText xml:space="preserve"> PAGEREF _Toc60319469 \h </w:instrText>
            </w:r>
            <w:r>
              <w:rPr>
                <w:noProof/>
                <w:webHidden/>
              </w:rPr>
            </w:r>
            <w:r>
              <w:rPr>
                <w:noProof/>
                <w:webHidden/>
              </w:rPr>
              <w:fldChar w:fldCharType="separate"/>
            </w:r>
            <w:r>
              <w:rPr>
                <w:noProof/>
                <w:webHidden/>
              </w:rPr>
              <w:t>6</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70" w:history="1">
            <w:r w:rsidRPr="00DF188F">
              <w:rPr>
                <w:rStyle w:val="Lienhypertexte"/>
                <w:rFonts w:eastAsiaTheme="majorEastAsia"/>
                <w:noProof/>
              </w:rPr>
              <w:t>1.5 – FORME PARTICULIERE DU MARCHE</w:t>
            </w:r>
            <w:r>
              <w:rPr>
                <w:noProof/>
                <w:webHidden/>
              </w:rPr>
              <w:tab/>
            </w:r>
            <w:r>
              <w:rPr>
                <w:noProof/>
                <w:webHidden/>
              </w:rPr>
              <w:fldChar w:fldCharType="begin"/>
            </w:r>
            <w:r>
              <w:rPr>
                <w:noProof/>
                <w:webHidden/>
              </w:rPr>
              <w:instrText xml:space="preserve"> PAGEREF _Toc60319470 \h </w:instrText>
            </w:r>
            <w:r>
              <w:rPr>
                <w:noProof/>
                <w:webHidden/>
              </w:rPr>
            </w:r>
            <w:r>
              <w:rPr>
                <w:noProof/>
                <w:webHidden/>
              </w:rPr>
              <w:fldChar w:fldCharType="separate"/>
            </w:r>
            <w:r>
              <w:rPr>
                <w:noProof/>
                <w:webHidden/>
              </w:rPr>
              <w:t>6</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471" w:history="1">
            <w:r w:rsidRPr="00DF188F">
              <w:rPr>
                <w:rStyle w:val="Lienhypertexte"/>
                <w:rFonts w:eastAsiaTheme="majorEastAsia"/>
                <w:noProof/>
              </w:rPr>
              <w:t>ARTICLE 2 – PARTIES PRENANTES</w:t>
            </w:r>
            <w:r>
              <w:rPr>
                <w:noProof/>
                <w:webHidden/>
              </w:rPr>
              <w:tab/>
            </w:r>
            <w:r>
              <w:rPr>
                <w:noProof/>
                <w:webHidden/>
              </w:rPr>
              <w:fldChar w:fldCharType="begin"/>
            </w:r>
            <w:r>
              <w:rPr>
                <w:noProof/>
                <w:webHidden/>
              </w:rPr>
              <w:instrText xml:space="preserve"> PAGEREF _Toc60319471 \h </w:instrText>
            </w:r>
            <w:r>
              <w:rPr>
                <w:noProof/>
                <w:webHidden/>
              </w:rPr>
            </w:r>
            <w:r>
              <w:rPr>
                <w:noProof/>
                <w:webHidden/>
              </w:rPr>
              <w:fldChar w:fldCharType="separate"/>
            </w:r>
            <w:r>
              <w:rPr>
                <w:noProof/>
                <w:webHidden/>
              </w:rPr>
              <w:t>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72" w:history="1">
            <w:r w:rsidRPr="00DF188F">
              <w:rPr>
                <w:rStyle w:val="Lienhypertexte"/>
                <w:rFonts w:eastAsiaTheme="majorEastAsia"/>
                <w:noProof/>
              </w:rPr>
              <w:t>2.1 – ACHETEUR PUBLIC</w:t>
            </w:r>
            <w:r>
              <w:rPr>
                <w:noProof/>
                <w:webHidden/>
              </w:rPr>
              <w:tab/>
            </w:r>
            <w:r>
              <w:rPr>
                <w:noProof/>
                <w:webHidden/>
              </w:rPr>
              <w:fldChar w:fldCharType="begin"/>
            </w:r>
            <w:r>
              <w:rPr>
                <w:noProof/>
                <w:webHidden/>
              </w:rPr>
              <w:instrText xml:space="preserve"> PAGEREF _Toc60319472 \h </w:instrText>
            </w:r>
            <w:r>
              <w:rPr>
                <w:noProof/>
                <w:webHidden/>
              </w:rPr>
            </w:r>
            <w:r>
              <w:rPr>
                <w:noProof/>
                <w:webHidden/>
              </w:rPr>
              <w:fldChar w:fldCharType="separate"/>
            </w:r>
            <w:r>
              <w:rPr>
                <w:noProof/>
                <w:webHidden/>
              </w:rPr>
              <w:t>7</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73" w:history="1">
            <w:r w:rsidRPr="00DF188F">
              <w:rPr>
                <w:rStyle w:val="Lienhypertexte"/>
                <w:rFonts w:eastAsiaTheme="majorEastAsia"/>
                <w:noProof/>
              </w:rPr>
              <w:t>2.1.1 – Acheteur public</w:t>
            </w:r>
            <w:r>
              <w:rPr>
                <w:noProof/>
                <w:webHidden/>
              </w:rPr>
              <w:tab/>
            </w:r>
            <w:r>
              <w:rPr>
                <w:noProof/>
                <w:webHidden/>
              </w:rPr>
              <w:fldChar w:fldCharType="begin"/>
            </w:r>
            <w:r>
              <w:rPr>
                <w:noProof/>
                <w:webHidden/>
              </w:rPr>
              <w:instrText xml:space="preserve"> PAGEREF _Toc60319473 \h </w:instrText>
            </w:r>
            <w:r>
              <w:rPr>
                <w:noProof/>
                <w:webHidden/>
              </w:rPr>
            </w:r>
            <w:r>
              <w:rPr>
                <w:noProof/>
                <w:webHidden/>
              </w:rPr>
              <w:fldChar w:fldCharType="separate"/>
            </w:r>
            <w:r>
              <w:rPr>
                <w:noProof/>
                <w:webHidden/>
              </w:rPr>
              <w:t>7</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74" w:history="1">
            <w:r w:rsidRPr="00DF188F">
              <w:rPr>
                <w:rStyle w:val="Lienhypertexte"/>
                <w:rFonts w:eastAsiaTheme="majorEastAsia"/>
                <w:noProof/>
              </w:rPr>
              <w:t>2.1.2 – Directeur du financement</w:t>
            </w:r>
            <w:r>
              <w:rPr>
                <w:noProof/>
                <w:webHidden/>
              </w:rPr>
              <w:tab/>
            </w:r>
            <w:r>
              <w:rPr>
                <w:noProof/>
                <w:webHidden/>
              </w:rPr>
              <w:fldChar w:fldCharType="begin"/>
            </w:r>
            <w:r>
              <w:rPr>
                <w:noProof/>
                <w:webHidden/>
              </w:rPr>
              <w:instrText xml:space="preserve"> PAGEREF _Toc60319474 \h </w:instrText>
            </w:r>
            <w:r>
              <w:rPr>
                <w:noProof/>
                <w:webHidden/>
              </w:rPr>
            </w:r>
            <w:r>
              <w:rPr>
                <w:noProof/>
                <w:webHidden/>
              </w:rPr>
              <w:fldChar w:fldCharType="separate"/>
            </w:r>
            <w:r>
              <w:rPr>
                <w:noProof/>
                <w:webHidden/>
              </w:rPr>
              <w:t>7</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75" w:history="1">
            <w:r w:rsidRPr="00DF188F">
              <w:rPr>
                <w:rStyle w:val="Lienhypertexte"/>
                <w:rFonts w:eastAsiaTheme="majorEastAsia"/>
                <w:noProof/>
              </w:rPr>
              <w:t>2.1.3 – Personne responsable du marché, référent du marché</w:t>
            </w:r>
            <w:r>
              <w:rPr>
                <w:noProof/>
                <w:webHidden/>
              </w:rPr>
              <w:tab/>
            </w:r>
            <w:r>
              <w:rPr>
                <w:noProof/>
                <w:webHidden/>
              </w:rPr>
              <w:fldChar w:fldCharType="begin"/>
            </w:r>
            <w:r>
              <w:rPr>
                <w:noProof/>
                <w:webHidden/>
              </w:rPr>
              <w:instrText xml:space="preserve"> PAGEREF _Toc60319475 \h </w:instrText>
            </w:r>
            <w:r>
              <w:rPr>
                <w:noProof/>
                <w:webHidden/>
              </w:rPr>
            </w:r>
            <w:r>
              <w:rPr>
                <w:noProof/>
                <w:webHidden/>
              </w:rPr>
              <w:fldChar w:fldCharType="separate"/>
            </w:r>
            <w:r>
              <w:rPr>
                <w:noProof/>
                <w:webHidden/>
              </w:rPr>
              <w:t>7</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76" w:history="1">
            <w:r w:rsidRPr="00DF188F">
              <w:rPr>
                <w:rStyle w:val="Lienhypertexte"/>
                <w:rFonts w:eastAsiaTheme="majorEastAsia"/>
                <w:noProof/>
              </w:rPr>
              <w:t>2.1.4 – Référent interne</w:t>
            </w:r>
            <w:r>
              <w:rPr>
                <w:noProof/>
                <w:webHidden/>
              </w:rPr>
              <w:tab/>
            </w:r>
            <w:r>
              <w:rPr>
                <w:noProof/>
                <w:webHidden/>
              </w:rPr>
              <w:fldChar w:fldCharType="begin"/>
            </w:r>
            <w:r>
              <w:rPr>
                <w:noProof/>
                <w:webHidden/>
              </w:rPr>
              <w:instrText xml:space="preserve"> PAGEREF _Toc60319476 \h </w:instrText>
            </w:r>
            <w:r>
              <w:rPr>
                <w:noProof/>
                <w:webHidden/>
              </w:rPr>
            </w:r>
            <w:r>
              <w:rPr>
                <w:noProof/>
                <w:webHidden/>
              </w:rPr>
              <w:fldChar w:fldCharType="separate"/>
            </w:r>
            <w:r>
              <w:rPr>
                <w:noProof/>
                <w:webHidden/>
              </w:rPr>
              <w:t>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77" w:history="1">
            <w:r w:rsidRPr="00DF188F">
              <w:rPr>
                <w:rStyle w:val="Lienhypertexte"/>
                <w:rFonts w:eastAsiaTheme="majorEastAsia"/>
                <w:noProof/>
              </w:rPr>
              <w:t>2.2 – TITULAIRE</w:t>
            </w:r>
            <w:r>
              <w:rPr>
                <w:noProof/>
                <w:webHidden/>
              </w:rPr>
              <w:tab/>
            </w:r>
            <w:r>
              <w:rPr>
                <w:noProof/>
                <w:webHidden/>
              </w:rPr>
              <w:fldChar w:fldCharType="begin"/>
            </w:r>
            <w:r>
              <w:rPr>
                <w:noProof/>
                <w:webHidden/>
              </w:rPr>
              <w:instrText xml:space="preserve"> PAGEREF _Toc60319477 \h </w:instrText>
            </w:r>
            <w:r>
              <w:rPr>
                <w:noProof/>
                <w:webHidden/>
              </w:rPr>
            </w:r>
            <w:r>
              <w:rPr>
                <w:noProof/>
                <w:webHidden/>
              </w:rPr>
              <w:fldChar w:fldCharType="separate"/>
            </w:r>
            <w:r>
              <w:rPr>
                <w:noProof/>
                <w:webHidden/>
              </w:rPr>
              <w:t>7</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78" w:history="1">
            <w:r w:rsidRPr="00DF188F">
              <w:rPr>
                <w:rStyle w:val="Lienhypertexte"/>
                <w:rFonts w:eastAsiaTheme="majorEastAsia"/>
                <w:noProof/>
              </w:rPr>
              <w:t>2.2.1 – Considérations générales</w:t>
            </w:r>
            <w:r>
              <w:rPr>
                <w:noProof/>
                <w:webHidden/>
              </w:rPr>
              <w:tab/>
            </w:r>
            <w:r>
              <w:rPr>
                <w:noProof/>
                <w:webHidden/>
              </w:rPr>
              <w:fldChar w:fldCharType="begin"/>
            </w:r>
            <w:r>
              <w:rPr>
                <w:noProof/>
                <w:webHidden/>
              </w:rPr>
              <w:instrText xml:space="preserve"> PAGEREF _Toc60319478 \h </w:instrText>
            </w:r>
            <w:r>
              <w:rPr>
                <w:noProof/>
                <w:webHidden/>
              </w:rPr>
            </w:r>
            <w:r>
              <w:rPr>
                <w:noProof/>
                <w:webHidden/>
              </w:rPr>
              <w:fldChar w:fldCharType="separate"/>
            </w:r>
            <w:r>
              <w:rPr>
                <w:noProof/>
                <w:webHidden/>
              </w:rPr>
              <w:t>7</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79" w:history="1">
            <w:r w:rsidRPr="00DF188F">
              <w:rPr>
                <w:rStyle w:val="Lienhypertexte"/>
                <w:rFonts w:eastAsiaTheme="majorEastAsia"/>
                <w:noProof/>
              </w:rPr>
              <w:t>2.2.2 – Groupement</w:t>
            </w:r>
            <w:r>
              <w:rPr>
                <w:noProof/>
                <w:webHidden/>
              </w:rPr>
              <w:tab/>
            </w:r>
            <w:r>
              <w:rPr>
                <w:noProof/>
                <w:webHidden/>
              </w:rPr>
              <w:fldChar w:fldCharType="begin"/>
            </w:r>
            <w:r>
              <w:rPr>
                <w:noProof/>
                <w:webHidden/>
              </w:rPr>
              <w:instrText xml:space="preserve"> PAGEREF _Toc60319479 \h </w:instrText>
            </w:r>
            <w:r>
              <w:rPr>
                <w:noProof/>
                <w:webHidden/>
              </w:rPr>
            </w:r>
            <w:r>
              <w:rPr>
                <w:noProof/>
                <w:webHidden/>
              </w:rPr>
              <w:fldChar w:fldCharType="separate"/>
            </w:r>
            <w:r>
              <w:rPr>
                <w:noProof/>
                <w:webHidden/>
              </w:rPr>
              <w:t>8</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80" w:history="1">
            <w:r w:rsidRPr="00DF188F">
              <w:rPr>
                <w:rStyle w:val="Lienhypertexte"/>
                <w:rFonts w:eastAsiaTheme="majorEastAsia"/>
                <w:noProof/>
              </w:rPr>
              <w:t>Si les prestations sont divisées en lots dont chacun est assigné, avec son prix, à l'un des membres (cotraitants) du groupement, il s’agit d’un groupement conjoint :</w:t>
            </w:r>
            <w:r>
              <w:rPr>
                <w:noProof/>
                <w:webHidden/>
              </w:rPr>
              <w:tab/>
            </w:r>
            <w:r>
              <w:rPr>
                <w:noProof/>
                <w:webHidden/>
              </w:rPr>
              <w:fldChar w:fldCharType="begin"/>
            </w:r>
            <w:r>
              <w:rPr>
                <w:noProof/>
                <w:webHidden/>
              </w:rPr>
              <w:instrText xml:space="preserve"> PAGEREF _Toc60319480 \h </w:instrText>
            </w:r>
            <w:r>
              <w:rPr>
                <w:noProof/>
                <w:webHidden/>
              </w:rPr>
            </w:r>
            <w:r>
              <w:rPr>
                <w:noProof/>
                <w:webHidden/>
              </w:rPr>
              <w:fldChar w:fldCharType="separate"/>
            </w:r>
            <w:r>
              <w:rPr>
                <w:noProof/>
                <w:webHidden/>
              </w:rPr>
              <w:t>8</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81" w:history="1">
            <w:r w:rsidRPr="00DF188F">
              <w:rPr>
                <w:rStyle w:val="Lienhypertexte"/>
                <w:rFonts w:eastAsiaTheme="majorEastAsia"/>
                <w:noProof/>
              </w:rPr>
              <w:t>Si les prestations du marché ne sont pas divisées en lots, et sont réglées par un prix global, il s’agit d’un groupement solidaire :</w:t>
            </w:r>
            <w:r>
              <w:rPr>
                <w:noProof/>
                <w:webHidden/>
              </w:rPr>
              <w:tab/>
            </w:r>
            <w:r>
              <w:rPr>
                <w:noProof/>
                <w:webHidden/>
              </w:rPr>
              <w:fldChar w:fldCharType="begin"/>
            </w:r>
            <w:r>
              <w:rPr>
                <w:noProof/>
                <w:webHidden/>
              </w:rPr>
              <w:instrText xml:space="preserve"> PAGEREF _Toc60319481 \h </w:instrText>
            </w:r>
            <w:r>
              <w:rPr>
                <w:noProof/>
                <w:webHidden/>
              </w:rPr>
            </w:r>
            <w:r>
              <w:rPr>
                <w:noProof/>
                <w:webHidden/>
              </w:rPr>
              <w:fldChar w:fldCharType="separate"/>
            </w:r>
            <w:r>
              <w:rPr>
                <w:noProof/>
                <w:webHidden/>
              </w:rPr>
              <w:t>8</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82" w:history="1">
            <w:r w:rsidRPr="00DF188F">
              <w:rPr>
                <w:rStyle w:val="Lienhypertexte"/>
                <w:rFonts w:eastAsiaTheme="majorEastAsia"/>
                <w:noProof/>
              </w:rPr>
              <w:t>* Solidarité</w:t>
            </w:r>
            <w:r>
              <w:rPr>
                <w:noProof/>
                <w:webHidden/>
              </w:rPr>
              <w:tab/>
            </w:r>
            <w:r>
              <w:rPr>
                <w:noProof/>
                <w:webHidden/>
              </w:rPr>
              <w:fldChar w:fldCharType="begin"/>
            </w:r>
            <w:r>
              <w:rPr>
                <w:noProof/>
                <w:webHidden/>
              </w:rPr>
              <w:instrText xml:space="preserve"> PAGEREF _Toc60319482 \h </w:instrText>
            </w:r>
            <w:r>
              <w:rPr>
                <w:noProof/>
                <w:webHidden/>
              </w:rPr>
            </w:r>
            <w:r>
              <w:rPr>
                <w:noProof/>
                <w:webHidden/>
              </w:rPr>
              <w:fldChar w:fldCharType="separate"/>
            </w:r>
            <w:r>
              <w:rPr>
                <w:noProof/>
                <w:webHidden/>
              </w:rPr>
              <w:t>8</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83" w:history="1">
            <w:r w:rsidRPr="00DF188F">
              <w:rPr>
                <w:rStyle w:val="Lienhypertexte"/>
                <w:rFonts w:eastAsiaTheme="majorEastAsia"/>
                <w:noProof/>
              </w:rPr>
              <w:t>Désignation du mandataire</w:t>
            </w:r>
            <w:r>
              <w:rPr>
                <w:noProof/>
                <w:webHidden/>
              </w:rPr>
              <w:tab/>
            </w:r>
            <w:r>
              <w:rPr>
                <w:noProof/>
                <w:webHidden/>
              </w:rPr>
              <w:fldChar w:fldCharType="begin"/>
            </w:r>
            <w:r>
              <w:rPr>
                <w:noProof/>
                <w:webHidden/>
              </w:rPr>
              <w:instrText xml:space="preserve"> PAGEREF _Toc60319483 \h </w:instrText>
            </w:r>
            <w:r>
              <w:rPr>
                <w:noProof/>
                <w:webHidden/>
              </w:rPr>
            </w:r>
            <w:r>
              <w:rPr>
                <w:noProof/>
                <w:webHidden/>
              </w:rPr>
              <w:fldChar w:fldCharType="separate"/>
            </w:r>
            <w:r>
              <w:rPr>
                <w:noProof/>
                <w:webHidden/>
              </w:rPr>
              <w:t>9</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84" w:history="1">
            <w:r w:rsidRPr="00DF188F">
              <w:rPr>
                <w:rStyle w:val="Lienhypertexte"/>
                <w:rFonts w:eastAsiaTheme="majorEastAsia"/>
                <w:noProof/>
              </w:rPr>
              <w:t>Groupement dans un groupement</w:t>
            </w:r>
            <w:r>
              <w:rPr>
                <w:noProof/>
                <w:webHidden/>
              </w:rPr>
              <w:tab/>
            </w:r>
            <w:r>
              <w:rPr>
                <w:noProof/>
                <w:webHidden/>
              </w:rPr>
              <w:fldChar w:fldCharType="begin"/>
            </w:r>
            <w:r>
              <w:rPr>
                <w:noProof/>
                <w:webHidden/>
              </w:rPr>
              <w:instrText xml:space="preserve"> PAGEREF _Toc60319484 \h </w:instrText>
            </w:r>
            <w:r>
              <w:rPr>
                <w:noProof/>
                <w:webHidden/>
              </w:rPr>
            </w:r>
            <w:r>
              <w:rPr>
                <w:noProof/>
                <w:webHidden/>
              </w:rPr>
              <w:fldChar w:fldCharType="separate"/>
            </w:r>
            <w:r>
              <w:rPr>
                <w:noProof/>
                <w:webHidden/>
              </w:rPr>
              <w:t>9</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85" w:history="1">
            <w:r w:rsidRPr="00DF188F">
              <w:rPr>
                <w:rStyle w:val="Lienhypertexte"/>
                <w:rFonts w:eastAsiaTheme="majorEastAsia"/>
                <w:noProof/>
              </w:rPr>
              <w:t>2.2.3 – Sous-traitance</w:t>
            </w:r>
            <w:r>
              <w:rPr>
                <w:noProof/>
                <w:webHidden/>
              </w:rPr>
              <w:tab/>
            </w:r>
            <w:r>
              <w:rPr>
                <w:noProof/>
                <w:webHidden/>
              </w:rPr>
              <w:fldChar w:fldCharType="begin"/>
            </w:r>
            <w:r>
              <w:rPr>
                <w:noProof/>
                <w:webHidden/>
              </w:rPr>
              <w:instrText xml:space="preserve"> PAGEREF _Toc60319485 \h </w:instrText>
            </w:r>
            <w:r>
              <w:rPr>
                <w:noProof/>
                <w:webHidden/>
              </w:rPr>
            </w:r>
            <w:r>
              <w:rPr>
                <w:noProof/>
                <w:webHidden/>
              </w:rPr>
              <w:fldChar w:fldCharType="separate"/>
            </w:r>
            <w:r>
              <w:rPr>
                <w:noProof/>
                <w:webHidden/>
              </w:rPr>
              <w:t>9</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86" w:history="1">
            <w:r w:rsidRPr="00DF188F">
              <w:rPr>
                <w:rStyle w:val="Lienhypertexte"/>
                <w:rFonts w:eastAsiaTheme="majorEastAsia"/>
                <w:noProof/>
              </w:rPr>
              <w:t>2.2.3.1 – Obligations préalables</w:t>
            </w:r>
            <w:r>
              <w:rPr>
                <w:noProof/>
                <w:webHidden/>
              </w:rPr>
              <w:tab/>
            </w:r>
            <w:r>
              <w:rPr>
                <w:noProof/>
                <w:webHidden/>
              </w:rPr>
              <w:fldChar w:fldCharType="begin"/>
            </w:r>
            <w:r>
              <w:rPr>
                <w:noProof/>
                <w:webHidden/>
              </w:rPr>
              <w:instrText xml:space="preserve"> PAGEREF _Toc60319486 \h </w:instrText>
            </w:r>
            <w:r>
              <w:rPr>
                <w:noProof/>
                <w:webHidden/>
              </w:rPr>
            </w:r>
            <w:r>
              <w:rPr>
                <w:noProof/>
                <w:webHidden/>
              </w:rPr>
              <w:fldChar w:fldCharType="separate"/>
            </w:r>
            <w:r>
              <w:rPr>
                <w:noProof/>
                <w:webHidden/>
              </w:rPr>
              <w:t>9</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87" w:history="1">
            <w:r w:rsidRPr="00DF188F">
              <w:rPr>
                <w:rStyle w:val="Lienhypertexte"/>
                <w:rFonts w:eastAsiaTheme="majorEastAsia"/>
                <w:noProof/>
              </w:rPr>
              <w:t>2.2.3.2 - Responsabilités</w:t>
            </w:r>
            <w:r>
              <w:rPr>
                <w:noProof/>
                <w:webHidden/>
              </w:rPr>
              <w:tab/>
            </w:r>
            <w:r>
              <w:rPr>
                <w:noProof/>
                <w:webHidden/>
              </w:rPr>
              <w:fldChar w:fldCharType="begin"/>
            </w:r>
            <w:r>
              <w:rPr>
                <w:noProof/>
                <w:webHidden/>
              </w:rPr>
              <w:instrText xml:space="preserve"> PAGEREF _Toc60319487 \h </w:instrText>
            </w:r>
            <w:r>
              <w:rPr>
                <w:noProof/>
                <w:webHidden/>
              </w:rPr>
            </w:r>
            <w:r>
              <w:rPr>
                <w:noProof/>
                <w:webHidden/>
              </w:rPr>
              <w:fldChar w:fldCharType="separate"/>
            </w:r>
            <w:r>
              <w:rPr>
                <w:noProof/>
                <w:webHidden/>
              </w:rPr>
              <w:t>9</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88" w:history="1">
            <w:r w:rsidRPr="00DF188F">
              <w:rPr>
                <w:rStyle w:val="Lienhypertexte"/>
                <w:rFonts w:eastAsiaTheme="majorEastAsia"/>
                <w:noProof/>
              </w:rPr>
              <w:t>2.2.3.3 – Obligation d’information</w:t>
            </w:r>
            <w:r>
              <w:rPr>
                <w:noProof/>
                <w:webHidden/>
              </w:rPr>
              <w:tab/>
            </w:r>
            <w:r>
              <w:rPr>
                <w:noProof/>
                <w:webHidden/>
              </w:rPr>
              <w:fldChar w:fldCharType="begin"/>
            </w:r>
            <w:r>
              <w:rPr>
                <w:noProof/>
                <w:webHidden/>
              </w:rPr>
              <w:instrText xml:space="preserve"> PAGEREF _Toc60319488 \h </w:instrText>
            </w:r>
            <w:r>
              <w:rPr>
                <w:noProof/>
                <w:webHidden/>
              </w:rPr>
            </w:r>
            <w:r>
              <w:rPr>
                <w:noProof/>
                <w:webHidden/>
              </w:rPr>
              <w:fldChar w:fldCharType="separate"/>
            </w:r>
            <w:r>
              <w:rPr>
                <w:noProof/>
                <w:webHidden/>
              </w:rPr>
              <w:t>9</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89" w:history="1">
            <w:r w:rsidRPr="00DF188F">
              <w:rPr>
                <w:rStyle w:val="Lienhypertexte"/>
                <w:rFonts w:eastAsiaTheme="majorEastAsia"/>
                <w:noProof/>
              </w:rPr>
              <w:t>2.2.4 – Sous-traitance de second rang</w:t>
            </w:r>
            <w:r>
              <w:rPr>
                <w:noProof/>
                <w:webHidden/>
              </w:rPr>
              <w:tab/>
            </w:r>
            <w:r>
              <w:rPr>
                <w:noProof/>
                <w:webHidden/>
              </w:rPr>
              <w:fldChar w:fldCharType="begin"/>
            </w:r>
            <w:r>
              <w:rPr>
                <w:noProof/>
                <w:webHidden/>
              </w:rPr>
              <w:instrText xml:space="preserve"> PAGEREF _Toc60319489 \h </w:instrText>
            </w:r>
            <w:r>
              <w:rPr>
                <w:noProof/>
                <w:webHidden/>
              </w:rPr>
            </w:r>
            <w:r>
              <w:rPr>
                <w:noProof/>
                <w:webHidden/>
              </w:rPr>
              <w:fldChar w:fldCharType="separate"/>
            </w:r>
            <w:r>
              <w:rPr>
                <w:noProof/>
                <w:webHidden/>
              </w:rPr>
              <w:t>9</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90" w:history="1">
            <w:r w:rsidRPr="00DF188F">
              <w:rPr>
                <w:rStyle w:val="Lienhypertexte"/>
                <w:rFonts w:eastAsiaTheme="majorEastAsia"/>
                <w:noProof/>
              </w:rPr>
              <w:t>2.2.4.1 – Obligations préalables</w:t>
            </w:r>
            <w:r>
              <w:rPr>
                <w:noProof/>
                <w:webHidden/>
              </w:rPr>
              <w:tab/>
            </w:r>
            <w:r>
              <w:rPr>
                <w:noProof/>
                <w:webHidden/>
              </w:rPr>
              <w:fldChar w:fldCharType="begin"/>
            </w:r>
            <w:r>
              <w:rPr>
                <w:noProof/>
                <w:webHidden/>
              </w:rPr>
              <w:instrText xml:space="preserve"> PAGEREF _Toc60319490 \h </w:instrText>
            </w:r>
            <w:r>
              <w:rPr>
                <w:noProof/>
                <w:webHidden/>
              </w:rPr>
            </w:r>
            <w:r>
              <w:rPr>
                <w:noProof/>
                <w:webHidden/>
              </w:rPr>
              <w:fldChar w:fldCharType="separate"/>
            </w:r>
            <w:r>
              <w:rPr>
                <w:noProof/>
                <w:webHidden/>
              </w:rPr>
              <w:t>9</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91" w:history="1">
            <w:r w:rsidRPr="00DF188F">
              <w:rPr>
                <w:rStyle w:val="Lienhypertexte"/>
                <w:rFonts w:eastAsiaTheme="majorEastAsia"/>
                <w:noProof/>
              </w:rPr>
              <w:t>2.2.4.2 - Responsabilités</w:t>
            </w:r>
            <w:r>
              <w:rPr>
                <w:noProof/>
                <w:webHidden/>
              </w:rPr>
              <w:tab/>
            </w:r>
            <w:r>
              <w:rPr>
                <w:noProof/>
                <w:webHidden/>
              </w:rPr>
              <w:fldChar w:fldCharType="begin"/>
            </w:r>
            <w:r>
              <w:rPr>
                <w:noProof/>
                <w:webHidden/>
              </w:rPr>
              <w:instrText xml:space="preserve"> PAGEREF _Toc60319491 \h </w:instrText>
            </w:r>
            <w:r>
              <w:rPr>
                <w:noProof/>
                <w:webHidden/>
              </w:rPr>
            </w:r>
            <w:r>
              <w:rPr>
                <w:noProof/>
                <w:webHidden/>
              </w:rPr>
              <w:fldChar w:fldCharType="separate"/>
            </w:r>
            <w:r>
              <w:rPr>
                <w:noProof/>
                <w:webHidden/>
              </w:rPr>
              <w:t>10</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492" w:history="1">
            <w:r w:rsidRPr="00DF188F">
              <w:rPr>
                <w:rStyle w:val="Lienhypertexte"/>
                <w:rFonts w:eastAsiaTheme="majorEastAsia"/>
                <w:noProof/>
              </w:rPr>
              <w:t>2.2.4.3 – Obligation d’information</w:t>
            </w:r>
            <w:r>
              <w:rPr>
                <w:noProof/>
                <w:webHidden/>
              </w:rPr>
              <w:tab/>
            </w:r>
            <w:r>
              <w:rPr>
                <w:noProof/>
                <w:webHidden/>
              </w:rPr>
              <w:fldChar w:fldCharType="begin"/>
            </w:r>
            <w:r>
              <w:rPr>
                <w:noProof/>
                <w:webHidden/>
              </w:rPr>
              <w:instrText xml:space="preserve"> PAGEREF _Toc60319492 \h </w:instrText>
            </w:r>
            <w:r>
              <w:rPr>
                <w:noProof/>
                <w:webHidden/>
              </w:rPr>
            </w:r>
            <w:r>
              <w:rPr>
                <w:noProof/>
                <w:webHidden/>
              </w:rPr>
              <w:fldChar w:fldCharType="separate"/>
            </w:r>
            <w:r>
              <w:rPr>
                <w:noProof/>
                <w:webHidden/>
              </w:rPr>
              <w:t>10</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93" w:history="1">
            <w:r w:rsidRPr="00DF188F">
              <w:rPr>
                <w:rStyle w:val="Lienhypertexte"/>
                <w:rFonts w:eastAsiaTheme="majorEastAsia"/>
                <w:noProof/>
              </w:rPr>
              <w:t>2.3 - COMMUNICATION</w:t>
            </w:r>
            <w:r>
              <w:rPr>
                <w:noProof/>
                <w:webHidden/>
              </w:rPr>
              <w:tab/>
            </w:r>
            <w:r>
              <w:rPr>
                <w:noProof/>
                <w:webHidden/>
              </w:rPr>
              <w:fldChar w:fldCharType="begin"/>
            </w:r>
            <w:r>
              <w:rPr>
                <w:noProof/>
                <w:webHidden/>
              </w:rPr>
              <w:instrText xml:space="preserve"> PAGEREF _Toc60319493 \h </w:instrText>
            </w:r>
            <w:r>
              <w:rPr>
                <w:noProof/>
                <w:webHidden/>
              </w:rPr>
            </w:r>
            <w:r>
              <w:rPr>
                <w:noProof/>
                <w:webHidden/>
              </w:rPr>
              <w:fldChar w:fldCharType="separate"/>
            </w:r>
            <w:r>
              <w:rPr>
                <w:noProof/>
                <w:webHidden/>
              </w:rPr>
              <w:t>10</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494" w:history="1">
            <w:r w:rsidRPr="00DF188F">
              <w:rPr>
                <w:rStyle w:val="Lienhypertexte"/>
                <w:rFonts w:eastAsiaTheme="majorEastAsia"/>
                <w:noProof/>
              </w:rPr>
              <w:t>2.4 – AUTRES INTERVENANTS DANS L’EXECUTION DU MARCHÉ</w:t>
            </w:r>
            <w:r>
              <w:rPr>
                <w:noProof/>
                <w:webHidden/>
              </w:rPr>
              <w:tab/>
            </w:r>
            <w:r>
              <w:rPr>
                <w:noProof/>
                <w:webHidden/>
              </w:rPr>
              <w:fldChar w:fldCharType="begin"/>
            </w:r>
            <w:r>
              <w:rPr>
                <w:noProof/>
                <w:webHidden/>
              </w:rPr>
              <w:instrText xml:space="preserve"> PAGEREF _Toc60319494 \h </w:instrText>
            </w:r>
            <w:r>
              <w:rPr>
                <w:noProof/>
                <w:webHidden/>
              </w:rPr>
            </w:r>
            <w:r>
              <w:rPr>
                <w:noProof/>
                <w:webHidden/>
              </w:rPr>
              <w:fldChar w:fldCharType="separate"/>
            </w:r>
            <w:r>
              <w:rPr>
                <w:noProof/>
                <w:webHidden/>
              </w:rPr>
              <w:t>10</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95" w:history="1">
            <w:r w:rsidRPr="00DF188F">
              <w:rPr>
                <w:rStyle w:val="Lienhypertexte"/>
                <w:rFonts w:eastAsiaTheme="majorEastAsia"/>
                <w:noProof/>
              </w:rPr>
              <w:t>2.4.1 – Conduite d’opération (ou assistant à maîtrise d’ouvrage)</w:t>
            </w:r>
            <w:r>
              <w:rPr>
                <w:noProof/>
                <w:webHidden/>
              </w:rPr>
              <w:tab/>
            </w:r>
            <w:r>
              <w:rPr>
                <w:noProof/>
                <w:webHidden/>
              </w:rPr>
              <w:fldChar w:fldCharType="begin"/>
            </w:r>
            <w:r>
              <w:rPr>
                <w:noProof/>
                <w:webHidden/>
              </w:rPr>
              <w:instrText xml:space="preserve"> PAGEREF _Toc60319495 \h </w:instrText>
            </w:r>
            <w:r>
              <w:rPr>
                <w:noProof/>
                <w:webHidden/>
              </w:rPr>
            </w:r>
            <w:r>
              <w:rPr>
                <w:noProof/>
                <w:webHidden/>
              </w:rPr>
              <w:fldChar w:fldCharType="separate"/>
            </w:r>
            <w:r>
              <w:rPr>
                <w:noProof/>
                <w:webHidden/>
              </w:rPr>
              <w:t>10</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96" w:history="1">
            <w:r w:rsidRPr="00DF188F">
              <w:rPr>
                <w:rStyle w:val="Lienhypertexte"/>
                <w:rFonts w:eastAsiaTheme="majorEastAsia"/>
                <w:noProof/>
              </w:rPr>
              <w:t>2.4.2 – Maîtrise d'œuvre</w:t>
            </w:r>
            <w:r>
              <w:rPr>
                <w:noProof/>
                <w:webHidden/>
              </w:rPr>
              <w:tab/>
            </w:r>
            <w:r>
              <w:rPr>
                <w:noProof/>
                <w:webHidden/>
              </w:rPr>
              <w:fldChar w:fldCharType="begin"/>
            </w:r>
            <w:r>
              <w:rPr>
                <w:noProof/>
                <w:webHidden/>
              </w:rPr>
              <w:instrText xml:space="preserve"> PAGEREF _Toc60319496 \h </w:instrText>
            </w:r>
            <w:r>
              <w:rPr>
                <w:noProof/>
                <w:webHidden/>
              </w:rPr>
            </w:r>
            <w:r>
              <w:rPr>
                <w:noProof/>
                <w:webHidden/>
              </w:rPr>
              <w:fldChar w:fldCharType="separate"/>
            </w:r>
            <w:r>
              <w:rPr>
                <w:noProof/>
                <w:webHidden/>
              </w:rPr>
              <w:t>10</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97" w:history="1">
            <w:r w:rsidRPr="00DF188F">
              <w:rPr>
                <w:rStyle w:val="Lienhypertexte"/>
                <w:rFonts w:eastAsiaTheme="majorEastAsia"/>
                <w:noProof/>
              </w:rPr>
              <w:t>2.4.3 – Contrôle technique</w:t>
            </w:r>
            <w:r>
              <w:rPr>
                <w:noProof/>
                <w:webHidden/>
              </w:rPr>
              <w:tab/>
            </w:r>
            <w:r>
              <w:rPr>
                <w:noProof/>
                <w:webHidden/>
              </w:rPr>
              <w:fldChar w:fldCharType="begin"/>
            </w:r>
            <w:r>
              <w:rPr>
                <w:noProof/>
                <w:webHidden/>
              </w:rPr>
              <w:instrText xml:space="preserve"> PAGEREF _Toc60319497 \h </w:instrText>
            </w:r>
            <w:r>
              <w:rPr>
                <w:noProof/>
                <w:webHidden/>
              </w:rPr>
            </w:r>
            <w:r>
              <w:rPr>
                <w:noProof/>
                <w:webHidden/>
              </w:rPr>
              <w:fldChar w:fldCharType="separate"/>
            </w:r>
            <w:r>
              <w:rPr>
                <w:noProof/>
                <w:webHidden/>
              </w:rPr>
              <w:t>11</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98" w:history="1">
            <w:r w:rsidRPr="00DF188F">
              <w:rPr>
                <w:rStyle w:val="Lienhypertexte"/>
                <w:rFonts w:eastAsiaTheme="majorEastAsia"/>
                <w:noProof/>
              </w:rPr>
              <w:t>2.4.4 – Ordonnancement, pilotage et coordination (OPC)</w:t>
            </w:r>
            <w:r>
              <w:rPr>
                <w:noProof/>
                <w:webHidden/>
              </w:rPr>
              <w:tab/>
            </w:r>
            <w:r>
              <w:rPr>
                <w:noProof/>
                <w:webHidden/>
              </w:rPr>
              <w:fldChar w:fldCharType="begin"/>
            </w:r>
            <w:r>
              <w:rPr>
                <w:noProof/>
                <w:webHidden/>
              </w:rPr>
              <w:instrText xml:space="preserve"> PAGEREF _Toc60319498 \h </w:instrText>
            </w:r>
            <w:r>
              <w:rPr>
                <w:noProof/>
                <w:webHidden/>
              </w:rPr>
            </w:r>
            <w:r>
              <w:rPr>
                <w:noProof/>
                <w:webHidden/>
              </w:rPr>
              <w:fldChar w:fldCharType="separate"/>
            </w:r>
            <w:r>
              <w:rPr>
                <w:noProof/>
                <w:webHidden/>
              </w:rPr>
              <w:t>11</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499" w:history="1">
            <w:r w:rsidRPr="00DF188F">
              <w:rPr>
                <w:rStyle w:val="Lienhypertexte"/>
                <w:rFonts w:eastAsiaTheme="majorEastAsia"/>
                <w:noProof/>
              </w:rPr>
              <w:t>2.4.5 – Synthèse</w:t>
            </w:r>
            <w:r>
              <w:rPr>
                <w:noProof/>
                <w:webHidden/>
              </w:rPr>
              <w:tab/>
            </w:r>
            <w:r>
              <w:rPr>
                <w:noProof/>
                <w:webHidden/>
              </w:rPr>
              <w:fldChar w:fldCharType="begin"/>
            </w:r>
            <w:r>
              <w:rPr>
                <w:noProof/>
                <w:webHidden/>
              </w:rPr>
              <w:instrText xml:space="preserve"> PAGEREF _Toc60319499 \h </w:instrText>
            </w:r>
            <w:r>
              <w:rPr>
                <w:noProof/>
                <w:webHidden/>
              </w:rPr>
            </w:r>
            <w:r>
              <w:rPr>
                <w:noProof/>
                <w:webHidden/>
              </w:rPr>
              <w:fldChar w:fldCharType="separate"/>
            </w:r>
            <w:r>
              <w:rPr>
                <w:noProof/>
                <w:webHidden/>
              </w:rPr>
              <w:t>12</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00" w:history="1">
            <w:r w:rsidRPr="00DF188F">
              <w:rPr>
                <w:rStyle w:val="Lienhypertexte"/>
                <w:rFonts w:eastAsiaTheme="majorEastAsia"/>
                <w:noProof/>
              </w:rPr>
              <w:t>2.4.6 – Coordination santé-sécurité</w:t>
            </w:r>
            <w:r>
              <w:rPr>
                <w:noProof/>
                <w:webHidden/>
              </w:rPr>
              <w:tab/>
            </w:r>
            <w:r>
              <w:rPr>
                <w:noProof/>
                <w:webHidden/>
              </w:rPr>
              <w:fldChar w:fldCharType="begin"/>
            </w:r>
            <w:r>
              <w:rPr>
                <w:noProof/>
                <w:webHidden/>
              </w:rPr>
              <w:instrText xml:space="preserve"> PAGEREF _Toc60319500 \h </w:instrText>
            </w:r>
            <w:r>
              <w:rPr>
                <w:noProof/>
                <w:webHidden/>
              </w:rPr>
            </w:r>
            <w:r>
              <w:rPr>
                <w:noProof/>
                <w:webHidden/>
              </w:rPr>
              <w:fldChar w:fldCharType="separate"/>
            </w:r>
            <w:r>
              <w:rPr>
                <w:noProof/>
                <w:webHidden/>
              </w:rPr>
              <w:t>12</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01" w:history="1">
            <w:r w:rsidRPr="00DF188F">
              <w:rPr>
                <w:rStyle w:val="Lienhypertexte"/>
                <w:rFonts w:eastAsiaTheme="majorEastAsia"/>
                <w:noProof/>
              </w:rPr>
              <w:t>2.4.7 – Autres contrats ou marchés concomitants pouvant avoir un impact sur l’exécution du marché</w:t>
            </w:r>
            <w:r>
              <w:rPr>
                <w:noProof/>
                <w:webHidden/>
              </w:rPr>
              <w:tab/>
            </w:r>
            <w:r>
              <w:rPr>
                <w:noProof/>
                <w:webHidden/>
              </w:rPr>
              <w:fldChar w:fldCharType="begin"/>
            </w:r>
            <w:r>
              <w:rPr>
                <w:noProof/>
                <w:webHidden/>
              </w:rPr>
              <w:instrText xml:space="preserve"> PAGEREF _Toc60319501 \h </w:instrText>
            </w:r>
            <w:r>
              <w:rPr>
                <w:noProof/>
                <w:webHidden/>
              </w:rPr>
            </w:r>
            <w:r>
              <w:rPr>
                <w:noProof/>
                <w:webHidden/>
              </w:rPr>
              <w:fldChar w:fldCharType="separate"/>
            </w:r>
            <w:r>
              <w:rPr>
                <w:noProof/>
                <w:webHidden/>
              </w:rPr>
              <w:t>12</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02" w:history="1">
            <w:r w:rsidRPr="00DF188F">
              <w:rPr>
                <w:rStyle w:val="Lienhypertexte"/>
                <w:rFonts w:eastAsiaTheme="majorEastAsia"/>
                <w:noProof/>
              </w:rPr>
              <w:t>ARTICLE 3 – PIECES CONSTITUTIVES DU MARCHÉ</w:t>
            </w:r>
            <w:r>
              <w:rPr>
                <w:noProof/>
                <w:webHidden/>
              </w:rPr>
              <w:tab/>
            </w:r>
            <w:r>
              <w:rPr>
                <w:noProof/>
                <w:webHidden/>
              </w:rPr>
              <w:fldChar w:fldCharType="begin"/>
            </w:r>
            <w:r>
              <w:rPr>
                <w:noProof/>
                <w:webHidden/>
              </w:rPr>
              <w:instrText xml:space="preserve"> PAGEREF _Toc60319502 \h </w:instrText>
            </w:r>
            <w:r>
              <w:rPr>
                <w:noProof/>
                <w:webHidden/>
              </w:rPr>
            </w:r>
            <w:r>
              <w:rPr>
                <w:noProof/>
                <w:webHidden/>
              </w:rPr>
              <w:fldChar w:fldCharType="separate"/>
            </w:r>
            <w:r>
              <w:rPr>
                <w:noProof/>
                <w:webHidden/>
              </w:rPr>
              <w:t>13</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03" w:history="1">
            <w:r w:rsidRPr="00DF188F">
              <w:rPr>
                <w:rStyle w:val="Lienhypertexte"/>
                <w:rFonts w:eastAsiaTheme="majorEastAsia"/>
                <w:noProof/>
              </w:rPr>
              <w:t>3.1 – PIECES PARTICULIERES</w:t>
            </w:r>
            <w:r>
              <w:rPr>
                <w:noProof/>
                <w:webHidden/>
              </w:rPr>
              <w:tab/>
            </w:r>
            <w:r>
              <w:rPr>
                <w:noProof/>
                <w:webHidden/>
              </w:rPr>
              <w:fldChar w:fldCharType="begin"/>
            </w:r>
            <w:r>
              <w:rPr>
                <w:noProof/>
                <w:webHidden/>
              </w:rPr>
              <w:instrText xml:space="preserve"> PAGEREF _Toc60319503 \h </w:instrText>
            </w:r>
            <w:r>
              <w:rPr>
                <w:noProof/>
                <w:webHidden/>
              </w:rPr>
            </w:r>
            <w:r>
              <w:rPr>
                <w:noProof/>
                <w:webHidden/>
              </w:rPr>
              <w:fldChar w:fldCharType="separate"/>
            </w:r>
            <w:r>
              <w:rPr>
                <w:noProof/>
                <w:webHidden/>
              </w:rPr>
              <w:t>13</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04" w:history="1">
            <w:r w:rsidRPr="00DF188F">
              <w:rPr>
                <w:rStyle w:val="Lienhypertexte"/>
                <w:rFonts w:eastAsiaTheme="majorEastAsia"/>
                <w:noProof/>
              </w:rPr>
              <w:t>3.2 – PIECES GENERALES</w:t>
            </w:r>
            <w:r>
              <w:rPr>
                <w:noProof/>
                <w:webHidden/>
              </w:rPr>
              <w:tab/>
            </w:r>
            <w:r>
              <w:rPr>
                <w:noProof/>
                <w:webHidden/>
              </w:rPr>
              <w:fldChar w:fldCharType="begin"/>
            </w:r>
            <w:r>
              <w:rPr>
                <w:noProof/>
                <w:webHidden/>
              </w:rPr>
              <w:instrText xml:space="preserve"> PAGEREF _Toc60319504 \h </w:instrText>
            </w:r>
            <w:r>
              <w:rPr>
                <w:noProof/>
                <w:webHidden/>
              </w:rPr>
            </w:r>
            <w:r>
              <w:rPr>
                <w:noProof/>
                <w:webHidden/>
              </w:rPr>
              <w:fldChar w:fldCharType="separate"/>
            </w:r>
            <w:r>
              <w:rPr>
                <w:noProof/>
                <w:webHidden/>
              </w:rPr>
              <w:t>13</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05" w:history="1">
            <w:r w:rsidRPr="00DF188F">
              <w:rPr>
                <w:rStyle w:val="Lienhypertexte"/>
                <w:rFonts w:eastAsiaTheme="majorEastAsia"/>
                <w:noProof/>
              </w:rPr>
              <w:t>ARTICLE 4  - MODALITES DE COMMANDE DES PRESTATIONS</w:t>
            </w:r>
            <w:r>
              <w:rPr>
                <w:noProof/>
                <w:webHidden/>
              </w:rPr>
              <w:tab/>
            </w:r>
            <w:r>
              <w:rPr>
                <w:noProof/>
                <w:webHidden/>
              </w:rPr>
              <w:fldChar w:fldCharType="begin"/>
            </w:r>
            <w:r>
              <w:rPr>
                <w:noProof/>
                <w:webHidden/>
              </w:rPr>
              <w:instrText xml:space="preserve"> PAGEREF _Toc60319505 \h </w:instrText>
            </w:r>
            <w:r>
              <w:rPr>
                <w:noProof/>
                <w:webHidden/>
              </w:rPr>
            </w:r>
            <w:r>
              <w:rPr>
                <w:noProof/>
                <w:webHidden/>
              </w:rPr>
              <w:fldChar w:fldCharType="separate"/>
            </w:r>
            <w:r>
              <w:rPr>
                <w:noProof/>
                <w:webHidden/>
              </w:rPr>
              <w:t>14</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06" w:history="1">
            <w:r w:rsidRPr="00DF188F">
              <w:rPr>
                <w:rStyle w:val="Lienhypertexte"/>
                <w:rFonts w:eastAsiaTheme="majorEastAsia"/>
                <w:noProof/>
              </w:rPr>
              <w:t>4.1 – DEMARRAGE DE L’EXECUTION DES PRESTATIONS DU MARCHE</w:t>
            </w:r>
            <w:r>
              <w:rPr>
                <w:noProof/>
                <w:webHidden/>
              </w:rPr>
              <w:tab/>
            </w:r>
            <w:r>
              <w:rPr>
                <w:noProof/>
                <w:webHidden/>
              </w:rPr>
              <w:fldChar w:fldCharType="begin"/>
            </w:r>
            <w:r>
              <w:rPr>
                <w:noProof/>
                <w:webHidden/>
              </w:rPr>
              <w:instrText xml:space="preserve"> PAGEREF _Toc60319506 \h </w:instrText>
            </w:r>
            <w:r>
              <w:rPr>
                <w:noProof/>
                <w:webHidden/>
              </w:rPr>
            </w:r>
            <w:r>
              <w:rPr>
                <w:noProof/>
                <w:webHidden/>
              </w:rPr>
              <w:fldChar w:fldCharType="separate"/>
            </w:r>
            <w:r>
              <w:rPr>
                <w:noProof/>
                <w:webHidden/>
              </w:rPr>
              <w:t>14</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07" w:history="1">
            <w:r w:rsidRPr="00DF188F">
              <w:rPr>
                <w:rStyle w:val="Lienhypertexte"/>
                <w:rFonts w:eastAsiaTheme="majorEastAsia"/>
                <w:noProof/>
              </w:rPr>
              <w:t>4.2 – DEMANDE DE PRESTATIONS SUPPLEMENTAIRES</w:t>
            </w:r>
            <w:r>
              <w:rPr>
                <w:noProof/>
                <w:webHidden/>
              </w:rPr>
              <w:tab/>
            </w:r>
            <w:r>
              <w:rPr>
                <w:noProof/>
                <w:webHidden/>
              </w:rPr>
              <w:fldChar w:fldCharType="begin"/>
            </w:r>
            <w:r>
              <w:rPr>
                <w:noProof/>
                <w:webHidden/>
              </w:rPr>
              <w:instrText xml:space="preserve"> PAGEREF _Toc60319507 \h </w:instrText>
            </w:r>
            <w:r>
              <w:rPr>
                <w:noProof/>
                <w:webHidden/>
              </w:rPr>
            </w:r>
            <w:r>
              <w:rPr>
                <w:noProof/>
                <w:webHidden/>
              </w:rPr>
              <w:fldChar w:fldCharType="separate"/>
            </w:r>
            <w:r>
              <w:rPr>
                <w:noProof/>
                <w:webHidden/>
              </w:rPr>
              <w:t>14</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08" w:history="1">
            <w:r w:rsidRPr="00DF188F">
              <w:rPr>
                <w:rStyle w:val="Lienhypertexte"/>
                <w:rFonts w:eastAsiaTheme="majorEastAsia"/>
                <w:noProof/>
              </w:rPr>
              <w:t>4.3 – DECISION DE POURSUIVRE</w:t>
            </w:r>
            <w:r>
              <w:rPr>
                <w:noProof/>
                <w:webHidden/>
              </w:rPr>
              <w:tab/>
            </w:r>
            <w:r>
              <w:rPr>
                <w:noProof/>
                <w:webHidden/>
              </w:rPr>
              <w:fldChar w:fldCharType="begin"/>
            </w:r>
            <w:r>
              <w:rPr>
                <w:noProof/>
                <w:webHidden/>
              </w:rPr>
              <w:instrText xml:space="preserve"> PAGEREF _Toc60319508 \h </w:instrText>
            </w:r>
            <w:r>
              <w:rPr>
                <w:noProof/>
                <w:webHidden/>
              </w:rPr>
            </w:r>
            <w:r>
              <w:rPr>
                <w:noProof/>
                <w:webHidden/>
              </w:rPr>
              <w:fldChar w:fldCharType="separate"/>
            </w:r>
            <w:r>
              <w:rPr>
                <w:noProof/>
                <w:webHidden/>
              </w:rPr>
              <w:t>14</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09" w:history="1">
            <w:r w:rsidRPr="00DF188F">
              <w:rPr>
                <w:rStyle w:val="Lienhypertexte"/>
                <w:rFonts w:eastAsiaTheme="majorEastAsia"/>
                <w:noProof/>
              </w:rPr>
              <w:t>ARTICLE 5  - DELAIS, PENALITES</w:t>
            </w:r>
            <w:r>
              <w:rPr>
                <w:noProof/>
                <w:webHidden/>
              </w:rPr>
              <w:tab/>
            </w:r>
            <w:r>
              <w:rPr>
                <w:noProof/>
                <w:webHidden/>
              </w:rPr>
              <w:fldChar w:fldCharType="begin"/>
            </w:r>
            <w:r>
              <w:rPr>
                <w:noProof/>
                <w:webHidden/>
              </w:rPr>
              <w:instrText xml:space="preserve"> PAGEREF _Toc60319509 \h </w:instrText>
            </w:r>
            <w:r>
              <w:rPr>
                <w:noProof/>
                <w:webHidden/>
              </w:rPr>
            </w:r>
            <w:r>
              <w:rPr>
                <w:noProof/>
                <w:webHidden/>
              </w:rPr>
              <w:fldChar w:fldCharType="separate"/>
            </w:r>
            <w:r>
              <w:rPr>
                <w:noProof/>
                <w:webHidden/>
              </w:rPr>
              <w:t>15</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10" w:history="1">
            <w:r w:rsidRPr="00DF188F">
              <w:rPr>
                <w:rStyle w:val="Lienhypertexte"/>
                <w:rFonts w:eastAsiaTheme="majorEastAsia"/>
                <w:noProof/>
              </w:rPr>
              <w:t>5.1 - DELAIS D’EXECUTION</w:t>
            </w:r>
            <w:r>
              <w:rPr>
                <w:noProof/>
                <w:webHidden/>
              </w:rPr>
              <w:tab/>
            </w:r>
            <w:r>
              <w:rPr>
                <w:noProof/>
                <w:webHidden/>
              </w:rPr>
              <w:fldChar w:fldCharType="begin"/>
            </w:r>
            <w:r>
              <w:rPr>
                <w:noProof/>
                <w:webHidden/>
              </w:rPr>
              <w:instrText xml:space="preserve"> PAGEREF _Toc60319510 \h </w:instrText>
            </w:r>
            <w:r>
              <w:rPr>
                <w:noProof/>
                <w:webHidden/>
              </w:rPr>
            </w:r>
            <w:r>
              <w:rPr>
                <w:noProof/>
                <w:webHidden/>
              </w:rPr>
              <w:fldChar w:fldCharType="separate"/>
            </w:r>
            <w:r>
              <w:rPr>
                <w:noProof/>
                <w:webHidden/>
              </w:rPr>
              <w:t>15</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11" w:history="1">
            <w:r w:rsidRPr="00DF188F">
              <w:rPr>
                <w:rStyle w:val="Lienhypertexte"/>
                <w:rFonts w:eastAsiaTheme="majorEastAsia"/>
                <w:noProof/>
              </w:rPr>
              <w:t>5.2 – PROLONGATION DES DELAIS D’EXECUTION DES PRESTATIONS</w:t>
            </w:r>
            <w:r>
              <w:rPr>
                <w:noProof/>
                <w:webHidden/>
              </w:rPr>
              <w:tab/>
            </w:r>
            <w:r>
              <w:rPr>
                <w:noProof/>
                <w:webHidden/>
              </w:rPr>
              <w:fldChar w:fldCharType="begin"/>
            </w:r>
            <w:r>
              <w:rPr>
                <w:noProof/>
                <w:webHidden/>
              </w:rPr>
              <w:instrText xml:space="preserve"> PAGEREF _Toc60319511 \h </w:instrText>
            </w:r>
            <w:r>
              <w:rPr>
                <w:noProof/>
                <w:webHidden/>
              </w:rPr>
            </w:r>
            <w:r>
              <w:rPr>
                <w:noProof/>
                <w:webHidden/>
              </w:rPr>
              <w:fldChar w:fldCharType="separate"/>
            </w:r>
            <w:r>
              <w:rPr>
                <w:noProof/>
                <w:webHidden/>
              </w:rPr>
              <w:t>15</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12" w:history="1">
            <w:r w:rsidRPr="00DF188F">
              <w:rPr>
                <w:rStyle w:val="Lienhypertexte"/>
                <w:rFonts w:eastAsiaTheme="majorEastAsia"/>
                <w:noProof/>
              </w:rPr>
              <w:t>5.3 – PENALITES</w:t>
            </w:r>
            <w:r>
              <w:rPr>
                <w:noProof/>
                <w:webHidden/>
              </w:rPr>
              <w:tab/>
            </w:r>
            <w:r>
              <w:rPr>
                <w:noProof/>
                <w:webHidden/>
              </w:rPr>
              <w:fldChar w:fldCharType="begin"/>
            </w:r>
            <w:r>
              <w:rPr>
                <w:noProof/>
                <w:webHidden/>
              </w:rPr>
              <w:instrText xml:space="preserve"> PAGEREF _Toc60319512 \h </w:instrText>
            </w:r>
            <w:r>
              <w:rPr>
                <w:noProof/>
                <w:webHidden/>
              </w:rPr>
            </w:r>
            <w:r>
              <w:rPr>
                <w:noProof/>
                <w:webHidden/>
              </w:rPr>
              <w:fldChar w:fldCharType="separate"/>
            </w:r>
            <w:r>
              <w:rPr>
                <w:noProof/>
                <w:webHidden/>
              </w:rPr>
              <w:t>15</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13" w:history="1">
            <w:r w:rsidRPr="00DF188F">
              <w:rPr>
                <w:rStyle w:val="Lienhypertexte"/>
                <w:rFonts w:eastAsiaTheme="majorEastAsia"/>
                <w:noProof/>
              </w:rPr>
              <w:t>5.3.1 – Retard d’exécution des prestations</w:t>
            </w:r>
            <w:r>
              <w:rPr>
                <w:noProof/>
                <w:webHidden/>
              </w:rPr>
              <w:tab/>
            </w:r>
            <w:r>
              <w:rPr>
                <w:noProof/>
                <w:webHidden/>
              </w:rPr>
              <w:fldChar w:fldCharType="begin"/>
            </w:r>
            <w:r>
              <w:rPr>
                <w:noProof/>
                <w:webHidden/>
              </w:rPr>
              <w:instrText xml:space="preserve"> PAGEREF _Toc60319513 \h </w:instrText>
            </w:r>
            <w:r>
              <w:rPr>
                <w:noProof/>
                <w:webHidden/>
              </w:rPr>
            </w:r>
            <w:r>
              <w:rPr>
                <w:noProof/>
                <w:webHidden/>
              </w:rPr>
              <w:fldChar w:fldCharType="separate"/>
            </w:r>
            <w:r>
              <w:rPr>
                <w:noProof/>
                <w:webHidden/>
              </w:rPr>
              <w:t>15</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14" w:history="1">
            <w:r w:rsidRPr="00DF188F">
              <w:rPr>
                <w:rStyle w:val="Lienhypertexte"/>
                <w:rFonts w:eastAsiaTheme="majorEastAsia"/>
                <w:noProof/>
              </w:rPr>
              <w:t>5.3.2 – Délais particuliers</w:t>
            </w:r>
            <w:r>
              <w:rPr>
                <w:noProof/>
                <w:webHidden/>
              </w:rPr>
              <w:tab/>
            </w:r>
            <w:r>
              <w:rPr>
                <w:noProof/>
                <w:webHidden/>
              </w:rPr>
              <w:fldChar w:fldCharType="begin"/>
            </w:r>
            <w:r>
              <w:rPr>
                <w:noProof/>
                <w:webHidden/>
              </w:rPr>
              <w:instrText xml:space="preserve"> PAGEREF _Toc60319514 \h </w:instrText>
            </w:r>
            <w:r>
              <w:rPr>
                <w:noProof/>
                <w:webHidden/>
              </w:rPr>
            </w:r>
            <w:r>
              <w:rPr>
                <w:noProof/>
                <w:webHidden/>
              </w:rPr>
              <w:fldChar w:fldCharType="separate"/>
            </w:r>
            <w:r>
              <w:rPr>
                <w:noProof/>
                <w:webHidden/>
              </w:rPr>
              <w:t>15</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15" w:history="1">
            <w:r w:rsidRPr="00DF188F">
              <w:rPr>
                <w:rStyle w:val="Lienhypertexte"/>
                <w:rFonts w:eastAsiaTheme="majorEastAsia"/>
                <w:noProof/>
              </w:rPr>
              <w:t>5.3.3 – Autres pénalités</w:t>
            </w:r>
            <w:r>
              <w:rPr>
                <w:noProof/>
                <w:webHidden/>
              </w:rPr>
              <w:tab/>
            </w:r>
            <w:r>
              <w:rPr>
                <w:noProof/>
                <w:webHidden/>
              </w:rPr>
              <w:fldChar w:fldCharType="begin"/>
            </w:r>
            <w:r>
              <w:rPr>
                <w:noProof/>
                <w:webHidden/>
              </w:rPr>
              <w:instrText xml:space="preserve"> PAGEREF _Toc60319515 \h </w:instrText>
            </w:r>
            <w:r>
              <w:rPr>
                <w:noProof/>
                <w:webHidden/>
              </w:rPr>
            </w:r>
            <w:r>
              <w:rPr>
                <w:noProof/>
                <w:webHidden/>
              </w:rPr>
              <w:fldChar w:fldCharType="separate"/>
            </w:r>
            <w:r>
              <w:rPr>
                <w:noProof/>
                <w:webHidden/>
              </w:rPr>
              <w:t>15</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16" w:history="1">
            <w:r w:rsidRPr="00DF188F">
              <w:rPr>
                <w:rStyle w:val="Lienhypertexte"/>
                <w:rFonts w:eastAsiaTheme="majorEastAsia"/>
                <w:noProof/>
              </w:rPr>
              <w:t>5.3.4 – Plafonnement des pénalités</w:t>
            </w:r>
            <w:r>
              <w:rPr>
                <w:noProof/>
                <w:webHidden/>
              </w:rPr>
              <w:tab/>
            </w:r>
            <w:r>
              <w:rPr>
                <w:noProof/>
                <w:webHidden/>
              </w:rPr>
              <w:fldChar w:fldCharType="begin"/>
            </w:r>
            <w:r>
              <w:rPr>
                <w:noProof/>
                <w:webHidden/>
              </w:rPr>
              <w:instrText xml:space="preserve"> PAGEREF _Toc60319516 \h </w:instrText>
            </w:r>
            <w:r>
              <w:rPr>
                <w:noProof/>
                <w:webHidden/>
              </w:rPr>
            </w:r>
            <w:r>
              <w:rPr>
                <w:noProof/>
                <w:webHidden/>
              </w:rPr>
              <w:fldChar w:fldCharType="separate"/>
            </w:r>
            <w:r>
              <w:rPr>
                <w:noProof/>
                <w:webHidden/>
              </w:rPr>
              <w:t>16</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17" w:history="1">
            <w:r w:rsidRPr="00DF188F">
              <w:rPr>
                <w:rStyle w:val="Lienhypertexte"/>
                <w:rFonts w:eastAsiaTheme="majorEastAsia"/>
                <w:noProof/>
              </w:rPr>
              <w:t>5.3.5 – Modalités en cas de groupement</w:t>
            </w:r>
            <w:r>
              <w:rPr>
                <w:noProof/>
                <w:webHidden/>
              </w:rPr>
              <w:tab/>
            </w:r>
            <w:r>
              <w:rPr>
                <w:noProof/>
                <w:webHidden/>
              </w:rPr>
              <w:fldChar w:fldCharType="begin"/>
            </w:r>
            <w:r>
              <w:rPr>
                <w:noProof/>
                <w:webHidden/>
              </w:rPr>
              <w:instrText xml:space="preserve"> PAGEREF _Toc60319517 \h </w:instrText>
            </w:r>
            <w:r>
              <w:rPr>
                <w:noProof/>
                <w:webHidden/>
              </w:rPr>
            </w:r>
            <w:r>
              <w:rPr>
                <w:noProof/>
                <w:webHidden/>
              </w:rPr>
              <w:fldChar w:fldCharType="separate"/>
            </w:r>
            <w:r>
              <w:rPr>
                <w:noProof/>
                <w:webHidden/>
              </w:rPr>
              <w:t>16</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18" w:history="1">
            <w:r w:rsidRPr="00DF188F">
              <w:rPr>
                <w:rStyle w:val="Lienhypertexte"/>
                <w:rFonts w:eastAsiaTheme="majorEastAsia"/>
                <w:noProof/>
              </w:rPr>
              <w:t>ARTICLE 6 -  RECEPTION</w:t>
            </w:r>
            <w:r>
              <w:rPr>
                <w:noProof/>
                <w:webHidden/>
              </w:rPr>
              <w:tab/>
            </w:r>
            <w:r>
              <w:rPr>
                <w:noProof/>
                <w:webHidden/>
              </w:rPr>
              <w:fldChar w:fldCharType="begin"/>
            </w:r>
            <w:r>
              <w:rPr>
                <w:noProof/>
                <w:webHidden/>
              </w:rPr>
              <w:instrText xml:space="preserve"> PAGEREF _Toc60319518 \h </w:instrText>
            </w:r>
            <w:r>
              <w:rPr>
                <w:noProof/>
                <w:webHidden/>
              </w:rPr>
            </w:r>
            <w:r>
              <w:rPr>
                <w:noProof/>
                <w:webHidden/>
              </w:rPr>
              <w:fldChar w:fldCharType="separate"/>
            </w:r>
            <w:r>
              <w:rPr>
                <w:noProof/>
                <w:webHidden/>
              </w:rPr>
              <w:t>17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19" w:history="1">
            <w:r w:rsidRPr="00DF188F">
              <w:rPr>
                <w:rStyle w:val="Lienhypertexte"/>
                <w:rFonts w:eastAsiaTheme="majorEastAsia"/>
                <w:noProof/>
              </w:rPr>
              <w:t>6.1 - LETTRE DE L’ENTREPRENEUR</w:t>
            </w:r>
            <w:r>
              <w:rPr>
                <w:noProof/>
                <w:webHidden/>
              </w:rPr>
              <w:tab/>
            </w:r>
            <w:r>
              <w:rPr>
                <w:noProof/>
                <w:webHidden/>
              </w:rPr>
              <w:fldChar w:fldCharType="begin"/>
            </w:r>
            <w:r>
              <w:rPr>
                <w:noProof/>
                <w:webHidden/>
              </w:rPr>
              <w:instrText xml:space="preserve"> PAGEREF _Toc60319519 \h </w:instrText>
            </w:r>
            <w:r>
              <w:rPr>
                <w:noProof/>
                <w:webHidden/>
              </w:rPr>
            </w:r>
            <w:r>
              <w:rPr>
                <w:noProof/>
                <w:webHidden/>
              </w:rPr>
              <w:fldChar w:fldCharType="separate"/>
            </w:r>
            <w:r>
              <w:rPr>
                <w:noProof/>
                <w:webHidden/>
              </w:rPr>
              <w:t>17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20" w:history="1">
            <w:r w:rsidRPr="00DF188F">
              <w:rPr>
                <w:rStyle w:val="Lienhypertexte"/>
                <w:rFonts w:eastAsiaTheme="majorEastAsia"/>
                <w:noProof/>
              </w:rPr>
              <w:t>6.2 - OPERATIONS PREALABLES A LA RECEPTION (OPR) :</w:t>
            </w:r>
            <w:r>
              <w:rPr>
                <w:noProof/>
                <w:webHidden/>
              </w:rPr>
              <w:tab/>
            </w:r>
            <w:r>
              <w:rPr>
                <w:noProof/>
                <w:webHidden/>
              </w:rPr>
              <w:fldChar w:fldCharType="begin"/>
            </w:r>
            <w:r>
              <w:rPr>
                <w:noProof/>
                <w:webHidden/>
              </w:rPr>
              <w:instrText xml:space="preserve"> PAGEREF _Toc60319520 \h </w:instrText>
            </w:r>
            <w:r>
              <w:rPr>
                <w:noProof/>
                <w:webHidden/>
              </w:rPr>
            </w:r>
            <w:r>
              <w:rPr>
                <w:noProof/>
                <w:webHidden/>
              </w:rPr>
              <w:fldChar w:fldCharType="separate"/>
            </w:r>
            <w:r>
              <w:rPr>
                <w:noProof/>
                <w:webHidden/>
              </w:rPr>
              <w:t>17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21" w:history="1">
            <w:r w:rsidRPr="00DF188F">
              <w:rPr>
                <w:rStyle w:val="Lienhypertexte"/>
                <w:rFonts w:eastAsiaTheme="majorEastAsia"/>
                <w:noProof/>
              </w:rPr>
              <w:t>6.3 - PROPOSITION DU MOE</w:t>
            </w:r>
            <w:r>
              <w:rPr>
                <w:noProof/>
                <w:webHidden/>
              </w:rPr>
              <w:tab/>
            </w:r>
            <w:r>
              <w:rPr>
                <w:noProof/>
                <w:webHidden/>
              </w:rPr>
              <w:fldChar w:fldCharType="begin"/>
            </w:r>
            <w:r>
              <w:rPr>
                <w:noProof/>
                <w:webHidden/>
              </w:rPr>
              <w:instrText xml:space="preserve"> PAGEREF _Toc60319521 \h </w:instrText>
            </w:r>
            <w:r>
              <w:rPr>
                <w:noProof/>
                <w:webHidden/>
              </w:rPr>
            </w:r>
            <w:r>
              <w:rPr>
                <w:noProof/>
                <w:webHidden/>
              </w:rPr>
              <w:fldChar w:fldCharType="separate"/>
            </w:r>
            <w:r>
              <w:rPr>
                <w:noProof/>
                <w:webHidden/>
              </w:rPr>
              <w:t>17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22" w:history="1">
            <w:r w:rsidRPr="00DF188F">
              <w:rPr>
                <w:rStyle w:val="Lienhypertexte"/>
                <w:rFonts w:eastAsiaTheme="majorEastAsia"/>
                <w:noProof/>
              </w:rPr>
              <w:t>6.4 - DECISION DE LA PRM</w:t>
            </w:r>
            <w:r>
              <w:rPr>
                <w:noProof/>
                <w:webHidden/>
              </w:rPr>
              <w:tab/>
            </w:r>
            <w:r>
              <w:rPr>
                <w:noProof/>
                <w:webHidden/>
              </w:rPr>
              <w:fldChar w:fldCharType="begin"/>
            </w:r>
            <w:r>
              <w:rPr>
                <w:noProof/>
                <w:webHidden/>
              </w:rPr>
              <w:instrText xml:space="preserve"> PAGEREF _Toc60319522 \h </w:instrText>
            </w:r>
            <w:r>
              <w:rPr>
                <w:noProof/>
                <w:webHidden/>
              </w:rPr>
            </w:r>
            <w:r>
              <w:rPr>
                <w:noProof/>
                <w:webHidden/>
              </w:rPr>
              <w:fldChar w:fldCharType="separate"/>
            </w:r>
            <w:r>
              <w:rPr>
                <w:noProof/>
                <w:webHidden/>
              </w:rPr>
              <w:t>17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23" w:history="1">
            <w:r w:rsidRPr="00DF188F">
              <w:rPr>
                <w:rStyle w:val="Lienhypertexte"/>
                <w:rFonts w:eastAsiaTheme="majorEastAsia"/>
                <w:noProof/>
              </w:rPr>
              <w:t>6.5 - RECEPTION</w:t>
            </w:r>
            <w:r>
              <w:rPr>
                <w:noProof/>
                <w:webHidden/>
              </w:rPr>
              <w:tab/>
            </w:r>
            <w:r>
              <w:rPr>
                <w:noProof/>
                <w:webHidden/>
              </w:rPr>
              <w:fldChar w:fldCharType="begin"/>
            </w:r>
            <w:r>
              <w:rPr>
                <w:noProof/>
                <w:webHidden/>
              </w:rPr>
              <w:instrText xml:space="preserve"> PAGEREF _Toc60319523 \h </w:instrText>
            </w:r>
            <w:r>
              <w:rPr>
                <w:noProof/>
                <w:webHidden/>
              </w:rPr>
            </w:r>
            <w:r>
              <w:rPr>
                <w:noProof/>
                <w:webHidden/>
              </w:rPr>
              <w:fldChar w:fldCharType="separate"/>
            </w:r>
            <w:r>
              <w:rPr>
                <w:noProof/>
                <w:webHidden/>
              </w:rPr>
              <w:t>17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24" w:history="1">
            <w:r w:rsidRPr="00DF188F">
              <w:rPr>
                <w:rStyle w:val="Lienhypertexte"/>
                <w:rFonts w:eastAsiaTheme="majorEastAsia"/>
                <w:noProof/>
              </w:rPr>
              <w:t>6.6 – RESERVES DE LA RECEPTION</w:t>
            </w:r>
            <w:r>
              <w:rPr>
                <w:noProof/>
                <w:webHidden/>
              </w:rPr>
              <w:tab/>
            </w:r>
            <w:r>
              <w:rPr>
                <w:noProof/>
                <w:webHidden/>
              </w:rPr>
              <w:fldChar w:fldCharType="begin"/>
            </w:r>
            <w:r>
              <w:rPr>
                <w:noProof/>
                <w:webHidden/>
              </w:rPr>
              <w:instrText xml:space="preserve"> PAGEREF _Toc60319524 \h </w:instrText>
            </w:r>
            <w:r>
              <w:rPr>
                <w:noProof/>
                <w:webHidden/>
              </w:rPr>
            </w:r>
            <w:r>
              <w:rPr>
                <w:noProof/>
                <w:webHidden/>
              </w:rPr>
              <w:fldChar w:fldCharType="separate"/>
            </w:r>
            <w:r>
              <w:rPr>
                <w:noProof/>
                <w:webHidden/>
              </w:rPr>
              <w:t>18</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25" w:history="1">
            <w:r w:rsidRPr="00DF188F">
              <w:rPr>
                <w:rStyle w:val="Lienhypertexte"/>
                <w:rFonts w:eastAsiaTheme="majorEastAsia"/>
                <w:noProof/>
              </w:rPr>
              <w:t>6.7 – REFACTION</w:t>
            </w:r>
            <w:r>
              <w:rPr>
                <w:noProof/>
                <w:webHidden/>
              </w:rPr>
              <w:tab/>
            </w:r>
            <w:r>
              <w:rPr>
                <w:noProof/>
                <w:webHidden/>
              </w:rPr>
              <w:fldChar w:fldCharType="begin"/>
            </w:r>
            <w:r>
              <w:rPr>
                <w:noProof/>
                <w:webHidden/>
              </w:rPr>
              <w:instrText xml:space="preserve"> PAGEREF _Toc60319525 \h </w:instrText>
            </w:r>
            <w:r>
              <w:rPr>
                <w:noProof/>
                <w:webHidden/>
              </w:rPr>
            </w:r>
            <w:r>
              <w:rPr>
                <w:noProof/>
                <w:webHidden/>
              </w:rPr>
              <w:fldChar w:fldCharType="separate"/>
            </w:r>
            <w:r>
              <w:rPr>
                <w:noProof/>
                <w:webHidden/>
              </w:rPr>
              <w:t>18</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26" w:history="1">
            <w:r w:rsidRPr="00DF188F">
              <w:rPr>
                <w:rStyle w:val="Lienhypertexte"/>
                <w:rFonts w:eastAsiaTheme="majorEastAsia"/>
                <w:noProof/>
              </w:rPr>
              <w:t>ARTICLE 7 – CONTENU ET CARACTERE DES PRIX</w:t>
            </w:r>
            <w:r>
              <w:rPr>
                <w:noProof/>
                <w:webHidden/>
              </w:rPr>
              <w:tab/>
            </w:r>
            <w:r>
              <w:rPr>
                <w:noProof/>
                <w:webHidden/>
              </w:rPr>
              <w:fldChar w:fldCharType="begin"/>
            </w:r>
            <w:r>
              <w:rPr>
                <w:noProof/>
                <w:webHidden/>
              </w:rPr>
              <w:instrText xml:space="preserve"> PAGEREF _Toc60319526 \h </w:instrText>
            </w:r>
            <w:r>
              <w:rPr>
                <w:noProof/>
                <w:webHidden/>
              </w:rPr>
            </w:r>
            <w:r>
              <w:rPr>
                <w:noProof/>
                <w:webHidden/>
              </w:rPr>
              <w:fldChar w:fldCharType="separate"/>
            </w:r>
            <w:r>
              <w:rPr>
                <w:noProof/>
                <w:webHidden/>
              </w:rPr>
              <w:t>19</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27" w:history="1">
            <w:r w:rsidRPr="00DF188F">
              <w:rPr>
                <w:rStyle w:val="Lienhypertexte"/>
                <w:rFonts w:eastAsiaTheme="majorEastAsia"/>
                <w:noProof/>
              </w:rPr>
              <w:t>7.1 – CONTENU DES PRIX</w:t>
            </w:r>
            <w:r>
              <w:rPr>
                <w:noProof/>
                <w:webHidden/>
              </w:rPr>
              <w:tab/>
            </w:r>
            <w:r>
              <w:rPr>
                <w:noProof/>
                <w:webHidden/>
              </w:rPr>
              <w:fldChar w:fldCharType="begin"/>
            </w:r>
            <w:r>
              <w:rPr>
                <w:noProof/>
                <w:webHidden/>
              </w:rPr>
              <w:instrText xml:space="preserve"> PAGEREF _Toc60319527 \h </w:instrText>
            </w:r>
            <w:r>
              <w:rPr>
                <w:noProof/>
                <w:webHidden/>
              </w:rPr>
            </w:r>
            <w:r>
              <w:rPr>
                <w:noProof/>
                <w:webHidden/>
              </w:rPr>
              <w:fldChar w:fldCharType="separate"/>
            </w:r>
            <w:r>
              <w:rPr>
                <w:noProof/>
                <w:webHidden/>
              </w:rPr>
              <w:t>19</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28" w:history="1">
            <w:r w:rsidRPr="00DF188F">
              <w:rPr>
                <w:rStyle w:val="Lienhypertexte"/>
                <w:rFonts w:eastAsiaTheme="majorEastAsia"/>
                <w:noProof/>
              </w:rPr>
              <w:t>7.1.1 – Dispositions générales</w:t>
            </w:r>
            <w:r>
              <w:rPr>
                <w:noProof/>
                <w:webHidden/>
              </w:rPr>
              <w:tab/>
            </w:r>
            <w:r>
              <w:rPr>
                <w:noProof/>
                <w:webHidden/>
              </w:rPr>
              <w:fldChar w:fldCharType="begin"/>
            </w:r>
            <w:r>
              <w:rPr>
                <w:noProof/>
                <w:webHidden/>
              </w:rPr>
              <w:instrText xml:space="preserve"> PAGEREF _Toc60319528 \h </w:instrText>
            </w:r>
            <w:r>
              <w:rPr>
                <w:noProof/>
                <w:webHidden/>
              </w:rPr>
            </w:r>
            <w:r>
              <w:rPr>
                <w:noProof/>
                <w:webHidden/>
              </w:rPr>
              <w:fldChar w:fldCharType="separate"/>
            </w:r>
            <w:r>
              <w:rPr>
                <w:noProof/>
                <w:webHidden/>
              </w:rPr>
              <w:t>19</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29" w:history="1">
            <w:r w:rsidRPr="00DF188F">
              <w:rPr>
                <w:rStyle w:val="Lienhypertexte"/>
                <w:rFonts w:eastAsiaTheme="majorEastAsia"/>
                <w:noProof/>
              </w:rPr>
              <w:t>7.1.2 – Exonération de taxes</w:t>
            </w:r>
            <w:r>
              <w:rPr>
                <w:noProof/>
                <w:webHidden/>
              </w:rPr>
              <w:tab/>
            </w:r>
            <w:r>
              <w:rPr>
                <w:noProof/>
                <w:webHidden/>
              </w:rPr>
              <w:fldChar w:fldCharType="begin"/>
            </w:r>
            <w:r>
              <w:rPr>
                <w:noProof/>
                <w:webHidden/>
              </w:rPr>
              <w:instrText xml:space="preserve"> PAGEREF _Toc60319529 \h </w:instrText>
            </w:r>
            <w:r>
              <w:rPr>
                <w:noProof/>
                <w:webHidden/>
              </w:rPr>
            </w:r>
            <w:r>
              <w:rPr>
                <w:noProof/>
                <w:webHidden/>
              </w:rPr>
              <w:fldChar w:fldCharType="separate"/>
            </w:r>
            <w:r>
              <w:rPr>
                <w:noProof/>
                <w:webHidden/>
              </w:rPr>
              <w:t>19</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30" w:history="1">
            <w:r w:rsidRPr="00DF188F">
              <w:rPr>
                <w:rStyle w:val="Lienhypertexte"/>
                <w:rFonts w:eastAsiaTheme="majorEastAsia"/>
                <w:noProof/>
              </w:rPr>
              <w:t>7.1.3 – Sujétions liées aux intempéries</w:t>
            </w:r>
            <w:r>
              <w:rPr>
                <w:noProof/>
                <w:webHidden/>
              </w:rPr>
              <w:tab/>
            </w:r>
            <w:r>
              <w:rPr>
                <w:noProof/>
                <w:webHidden/>
              </w:rPr>
              <w:fldChar w:fldCharType="begin"/>
            </w:r>
            <w:r>
              <w:rPr>
                <w:noProof/>
                <w:webHidden/>
              </w:rPr>
              <w:instrText xml:space="preserve"> PAGEREF _Toc60319530 \h </w:instrText>
            </w:r>
            <w:r>
              <w:rPr>
                <w:noProof/>
                <w:webHidden/>
              </w:rPr>
            </w:r>
            <w:r>
              <w:rPr>
                <w:noProof/>
                <w:webHidden/>
              </w:rPr>
              <w:fldChar w:fldCharType="separate"/>
            </w:r>
            <w:r>
              <w:rPr>
                <w:noProof/>
                <w:webHidden/>
              </w:rPr>
              <w:t>19</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31" w:history="1">
            <w:r w:rsidRPr="00DF188F">
              <w:rPr>
                <w:rStyle w:val="Lienhypertexte"/>
                <w:rFonts w:eastAsiaTheme="majorEastAsia"/>
                <w:noProof/>
              </w:rPr>
              <w:t>7.1.4 – Exécution simultanée ou imbriquée de prestations effectuées par d’autres prestataires</w:t>
            </w:r>
            <w:r>
              <w:rPr>
                <w:noProof/>
                <w:webHidden/>
              </w:rPr>
              <w:tab/>
            </w:r>
            <w:r>
              <w:rPr>
                <w:noProof/>
                <w:webHidden/>
              </w:rPr>
              <w:fldChar w:fldCharType="begin"/>
            </w:r>
            <w:r>
              <w:rPr>
                <w:noProof/>
                <w:webHidden/>
              </w:rPr>
              <w:instrText xml:space="preserve"> PAGEREF _Toc60319531 \h </w:instrText>
            </w:r>
            <w:r>
              <w:rPr>
                <w:noProof/>
                <w:webHidden/>
              </w:rPr>
            </w:r>
            <w:r>
              <w:rPr>
                <w:noProof/>
                <w:webHidden/>
              </w:rPr>
              <w:fldChar w:fldCharType="separate"/>
            </w:r>
            <w:r>
              <w:rPr>
                <w:noProof/>
                <w:webHidden/>
              </w:rPr>
              <w:t>20</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32" w:history="1">
            <w:r w:rsidRPr="00DF188F">
              <w:rPr>
                <w:rStyle w:val="Lienhypertexte"/>
                <w:rFonts w:eastAsiaTheme="majorEastAsia"/>
                <w:noProof/>
              </w:rPr>
              <w:t>7.1.5 – Sujétions exclues des prix du marché</w:t>
            </w:r>
            <w:r>
              <w:rPr>
                <w:noProof/>
                <w:webHidden/>
              </w:rPr>
              <w:tab/>
            </w:r>
            <w:r>
              <w:rPr>
                <w:noProof/>
                <w:webHidden/>
              </w:rPr>
              <w:fldChar w:fldCharType="begin"/>
            </w:r>
            <w:r>
              <w:rPr>
                <w:noProof/>
                <w:webHidden/>
              </w:rPr>
              <w:instrText xml:space="preserve"> PAGEREF _Toc60319532 \h </w:instrText>
            </w:r>
            <w:r>
              <w:rPr>
                <w:noProof/>
                <w:webHidden/>
              </w:rPr>
            </w:r>
            <w:r>
              <w:rPr>
                <w:noProof/>
                <w:webHidden/>
              </w:rPr>
              <w:fldChar w:fldCharType="separate"/>
            </w:r>
            <w:r>
              <w:rPr>
                <w:noProof/>
                <w:webHidden/>
              </w:rPr>
              <w:t>20</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33" w:history="1">
            <w:r w:rsidRPr="00DF188F">
              <w:rPr>
                <w:rStyle w:val="Lienhypertexte"/>
                <w:rFonts w:eastAsiaTheme="majorEastAsia"/>
                <w:noProof/>
              </w:rPr>
              <w:t>7.1.6 – Fourniture de sous-détails de prix</w:t>
            </w:r>
            <w:r>
              <w:rPr>
                <w:noProof/>
                <w:webHidden/>
              </w:rPr>
              <w:tab/>
            </w:r>
            <w:r>
              <w:rPr>
                <w:noProof/>
                <w:webHidden/>
              </w:rPr>
              <w:fldChar w:fldCharType="begin"/>
            </w:r>
            <w:r>
              <w:rPr>
                <w:noProof/>
                <w:webHidden/>
              </w:rPr>
              <w:instrText xml:space="preserve"> PAGEREF _Toc60319533 \h </w:instrText>
            </w:r>
            <w:r>
              <w:rPr>
                <w:noProof/>
                <w:webHidden/>
              </w:rPr>
            </w:r>
            <w:r>
              <w:rPr>
                <w:noProof/>
                <w:webHidden/>
              </w:rPr>
              <w:fldChar w:fldCharType="separate"/>
            </w:r>
            <w:r>
              <w:rPr>
                <w:noProof/>
                <w:webHidden/>
              </w:rPr>
              <w:t>20</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34" w:history="1">
            <w:r w:rsidRPr="00DF188F">
              <w:rPr>
                <w:rStyle w:val="Lienhypertexte"/>
                <w:rFonts w:eastAsiaTheme="majorEastAsia"/>
                <w:noProof/>
              </w:rPr>
              <w:t>7.2 – CARACTERE DES PRIX</w:t>
            </w:r>
            <w:r>
              <w:rPr>
                <w:noProof/>
                <w:webHidden/>
              </w:rPr>
              <w:tab/>
            </w:r>
            <w:r>
              <w:rPr>
                <w:noProof/>
                <w:webHidden/>
              </w:rPr>
              <w:fldChar w:fldCharType="begin"/>
            </w:r>
            <w:r>
              <w:rPr>
                <w:noProof/>
                <w:webHidden/>
              </w:rPr>
              <w:instrText xml:space="preserve"> PAGEREF _Toc60319534 \h </w:instrText>
            </w:r>
            <w:r>
              <w:rPr>
                <w:noProof/>
                <w:webHidden/>
              </w:rPr>
            </w:r>
            <w:r>
              <w:rPr>
                <w:noProof/>
                <w:webHidden/>
              </w:rPr>
              <w:fldChar w:fldCharType="separate"/>
            </w:r>
            <w:r>
              <w:rPr>
                <w:noProof/>
                <w:webHidden/>
              </w:rPr>
              <w:t>20</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35" w:history="1">
            <w:r w:rsidRPr="00DF188F">
              <w:rPr>
                <w:rStyle w:val="Lienhypertexte"/>
                <w:rFonts w:eastAsiaTheme="majorEastAsia"/>
                <w:noProof/>
              </w:rPr>
              <w:t>7.2.1 – Prestations réglées au forfait</w:t>
            </w:r>
            <w:r>
              <w:rPr>
                <w:noProof/>
                <w:webHidden/>
              </w:rPr>
              <w:tab/>
            </w:r>
            <w:r>
              <w:rPr>
                <w:noProof/>
                <w:webHidden/>
              </w:rPr>
              <w:fldChar w:fldCharType="begin"/>
            </w:r>
            <w:r>
              <w:rPr>
                <w:noProof/>
                <w:webHidden/>
              </w:rPr>
              <w:instrText xml:space="preserve"> PAGEREF _Toc60319535 \h </w:instrText>
            </w:r>
            <w:r>
              <w:rPr>
                <w:noProof/>
                <w:webHidden/>
              </w:rPr>
            </w:r>
            <w:r>
              <w:rPr>
                <w:noProof/>
                <w:webHidden/>
              </w:rPr>
              <w:fldChar w:fldCharType="separate"/>
            </w:r>
            <w:r>
              <w:rPr>
                <w:noProof/>
                <w:webHidden/>
              </w:rPr>
              <w:t>20</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36" w:history="1">
            <w:r w:rsidRPr="00DF188F">
              <w:rPr>
                <w:rStyle w:val="Lienhypertexte"/>
                <w:rFonts w:eastAsiaTheme="majorEastAsia"/>
                <w:noProof/>
              </w:rPr>
              <w:t>7.2.2 – Prestations réglées sur prix unitaires</w:t>
            </w:r>
            <w:r>
              <w:rPr>
                <w:noProof/>
                <w:webHidden/>
              </w:rPr>
              <w:tab/>
            </w:r>
            <w:r>
              <w:rPr>
                <w:noProof/>
                <w:webHidden/>
              </w:rPr>
              <w:fldChar w:fldCharType="begin"/>
            </w:r>
            <w:r>
              <w:rPr>
                <w:noProof/>
                <w:webHidden/>
              </w:rPr>
              <w:instrText xml:space="preserve"> PAGEREF _Toc60319536 \h </w:instrText>
            </w:r>
            <w:r>
              <w:rPr>
                <w:noProof/>
                <w:webHidden/>
              </w:rPr>
            </w:r>
            <w:r>
              <w:rPr>
                <w:noProof/>
                <w:webHidden/>
              </w:rPr>
              <w:fldChar w:fldCharType="separate"/>
            </w:r>
            <w:r>
              <w:rPr>
                <w:noProof/>
                <w:webHidden/>
              </w:rPr>
              <w:t>21</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37" w:history="1">
            <w:r w:rsidRPr="00DF188F">
              <w:rPr>
                <w:rStyle w:val="Lienhypertexte"/>
                <w:rFonts w:eastAsiaTheme="majorEastAsia"/>
                <w:noProof/>
              </w:rPr>
              <w:t>7.2.3 – Caractère provisoire ou définitif</w:t>
            </w:r>
            <w:r>
              <w:rPr>
                <w:noProof/>
                <w:webHidden/>
              </w:rPr>
              <w:tab/>
            </w:r>
            <w:r>
              <w:rPr>
                <w:noProof/>
                <w:webHidden/>
              </w:rPr>
              <w:fldChar w:fldCharType="begin"/>
            </w:r>
            <w:r>
              <w:rPr>
                <w:noProof/>
                <w:webHidden/>
              </w:rPr>
              <w:instrText xml:space="preserve"> PAGEREF _Toc60319537 \h </w:instrText>
            </w:r>
            <w:r>
              <w:rPr>
                <w:noProof/>
                <w:webHidden/>
              </w:rPr>
            </w:r>
            <w:r>
              <w:rPr>
                <w:noProof/>
                <w:webHidden/>
              </w:rPr>
              <w:fldChar w:fldCharType="separate"/>
            </w:r>
            <w:r>
              <w:rPr>
                <w:noProof/>
                <w:webHidden/>
              </w:rPr>
              <w:t>21</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38" w:history="1">
            <w:r w:rsidRPr="00DF188F">
              <w:rPr>
                <w:rStyle w:val="Lienhypertexte"/>
                <w:rFonts w:eastAsiaTheme="majorEastAsia"/>
                <w:noProof/>
              </w:rPr>
              <w:t>7.2.4 – Variation des prix</w:t>
            </w:r>
            <w:r>
              <w:rPr>
                <w:noProof/>
                <w:webHidden/>
              </w:rPr>
              <w:tab/>
            </w:r>
            <w:r>
              <w:rPr>
                <w:noProof/>
                <w:webHidden/>
              </w:rPr>
              <w:fldChar w:fldCharType="begin"/>
            </w:r>
            <w:r>
              <w:rPr>
                <w:noProof/>
                <w:webHidden/>
              </w:rPr>
              <w:instrText xml:space="preserve"> PAGEREF _Toc60319538 \h </w:instrText>
            </w:r>
            <w:r>
              <w:rPr>
                <w:noProof/>
                <w:webHidden/>
              </w:rPr>
            </w:r>
            <w:r>
              <w:rPr>
                <w:noProof/>
                <w:webHidden/>
              </w:rPr>
              <w:fldChar w:fldCharType="separate"/>
            </w:r>
            <w:r>
              <w:rPr>
                <w:noProof/>
                <w:webHidden/>
              </w:rPr>
              <w:t>21</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39" w:history="1">
            <w:r w:rsidRPr="00DF188F">
              <w:rPr>
                <w:rStyle w:val="Lienhypertexte"/>
                <w:rFonts w:eastAsiaTheme="majorEastAsia"/>
                <w:noProof/>
              </w:rPr>
              <w:t>ARTICLE 8 – DETERMINATION DU PRIX DE REGLEMENT – VARIATION DES PRIX – APPROVISIONNEMENTS – AVANCES – AUTO-LIQUIDATION TGC</w:t>
            </w:r>
            <w:r>
              <w:rPr>
                <w:noProof/>
                <w:webHidden/>
              </w:rPr>
              <w:tab/>
            </w:r>
            <w:r>
              <w:rPr>
                <w:noProof/>
                <w:webHidden/>
              </w:rPr>
              <w:fldChar w:fldCharType="begin"/>
            </w:r>
            <w:r>
              <w:rPr>
                <w:noProof/>
                <w:webHidden/>
              </w:rPr>
              <w:instrText xml:space="preserve"> PAGEREF _Toc60319539 \h </w:instrText>
            </w:r>
            <w:r>
              <w:rPr>
                <w:noProof/>
                <w:webHidden/>
              </w:rPr>
            </w:r>
            <w:r>
              <w:rPr>
                <w:noProof/>
                <w:webHidden/>
              </w:rPr>
              <w:fldChar w:fldCharType="separate"/>
            </w:r>
            <w:r>
              <w:rPr>
                <w:noProof/>
                <w:webHidden/>
              </w:rPr>
              <w:t>22</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40" w:history="1">
            <w:r w:rsidRPr="00DF188F">
              <w:rPr>
                <w:rStyle w:val="Lienhypertexte"/>
                <w:rFonts w:eastAsiaTheme="majorEastAsia"/>
                <w:noProof/>
              </w:rPr>
              <w:t>8.1 – DETERMINATION DU PRIX DE REGLEMENT</w:t>
            </w:r>
            <w:r>
              <w:rPr>
                <w:noProof/>
                <w:webHidden/>
              </w:rPr>
              <w:tab/>
            </w:r>
            <w:r>
              <w:rPr>
                <w:noProof/>
                <w:webHidden/>
              </w:rPr>
              <w:fldChar w:fldCharType="begin"/>
            </w:r>
            <w:r>
              <w:rPr>
                <w:noProof/>
                <w:webHidden/>
              </w:rPr>
              <w:instrText xml:space="preserve"> PAGEREF _Toc60319540 \h </w:instrText>
            </w:r>
            <w:r>
              <w:rPr>
                <w:noProof/>
                <w:webHidden/>
              </w:rPr>
            </w:r>
            <w:r>
              <w:rPr>
                <w:noProof/>
                <w:webHidden/>
              </w:rPr>
              <w:fldChar w:fldCharType="separate"/>
            </w:r>
            <w:r>
              <w:rPr>
                <w:noProof/>
                <w:webHidden/>
              </w:rPr>
              <w:t>22</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41" w:history="1">
            <w:r w:rsidRPr="00DF188F">
              <w:rPr>
                <w:rStyle w:val="Lienhypertexte"/>
                <w:rFonts w:eastAsiaTheme="majorEastAsia"/>
                <w:noProof/>
              </w:rPr>
              <w:t>8.1.1 – Prix de base</w:t>
            </w:r>
            <w:r>
              <w:rPr>
                <w:noProof/>
                <w:webHidden/>
              </w:rPr>
              <w:tab/>
            </w:r>
            <w:r>
              <w:rPr>
                <w:noProof/>
                <w:webHidden/>
              </w:rPr>
              <w:fldChar w:fldCharType="begin"/>
            </w:r>
            <w:r>
              <w:rPr>
                <w:noProof/>
                <w:webHidden/>
              </w:rPr>
              <w:instrText xml:space="preserve"> PAGEREF _Toc60319541 \h </w:instrText>
            </w:r>
            <w:r>
              <w:rPr>
                <w:noProof/>
                <w:webHidden/>
              </w:rPr>
            </w:r>
            <w:r>
              <w:rPr>
                <w:noProof/>
                <w:webHidden/>
              </w:rPr>
              <w:fldChar w:fldCharType="separate"/>
            </w:r>
            <w:r>
              <w:rPr>
                <w:noProof/>
                <w:webHidden/>
              </w:rPr>
              <w:t>22</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42" w:history="1">
            <w:r w:rsidRPr="00DF188F">
              <w:rPr>
                <w:rStyle w:val="Lienhypertexte"/>
                <w:rFonts w:eastAsiaTheme="majorEastAsia"/>
                <w:noProof/>
              </w:rPr>
              <w:t>8.1.2 – Modalités de règlement</w:t>
            </w:r>
            <w:r>
              <w:rPr>
                <w:noProof/>
                <w:webHidden/>
              </w:rPr>
              <w:tab/>
            </w:r>
            <w:r>
              <w:rPr>
                <w:noProof/>
                <w:webHidden/>
              </w:rPr>
              <w:fldChar w:fldCharType="begin"/>
            </w:r>
            <w:r>
              <w:rPr>
                <w:noProof/>
                <w:webHidden/>
              </w:rPr>
              <w:instrText xml:space="preserve"> PAGEREF _Toc60319542 \h </w:instrText>
            </w:r>
            <w:r>
              <w:rPr>
                <w:noProof/>
                <w:webHidden/>
              </w:rPr>
            </w:r>
            <w:r>
              <w:rPr>
                <w:noProof/>
                <w:webHidden/>
              </w:rPr>
              <w:fldChar w:fldCharType="separate"/>
            </w:r>
            <w:r>
              <w:rPr>
                <w:noProof/>
                <w:webHidden/>
              </w:rPr>
              <w:t>22</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543" w:history="1">
            <w:r w:rsidRPr="00DF188F">
              <w:rPr>
                <w:rStyle w:val="Lienhypertexte"/>
                <w:rFonts w:eastAsiaTheme="majorEastAsia"/>
                <w:noProof/>
              </w:rPr>
              <w:t>8.1.2.1 – Décomptes et acomptes</w:t>
            </w:r>
            <w:r>
              <w:rPr>
                <w:noProof/>
                <w:webHidden/>
              </w:rPr>
              <w:tab/>
            </w:r>
            <w:r>
              <w:rPr>
                <w:noProof/>
                <w:webHidden/>
              </w:rPr>
              <w:fldChar w:fldCharType="begin"/>
            </w:r>
            <w:r>
              <w:rPr>
                <w:noProof/>
                <w:webHidden/>
              </w:rPr>
              <w:instrText xml:space="preserve"> PAGEREF _Toc60319543 \h </w:instrText>
            </w:r>
            <w:r>
              <w:rPr>
                <w:noProof/>
                <w:webHidden/>
              </w:rPr>
            </w:r>
            <w:r>
              <w:rPr>
                <w:noProof/>
                <w:webHidden/>
              </w:rPr>
              <w:fldChar w:fldCharType="separate"/>
            </w:r>
            <w:r>
              <w:rPr>
                <w:noProof/>
                <w:webHidden/>
              </w:rPr>
              <w:t>22</w:t>
            </w:r>
            <w:r>
              <w:rPr>
                <w:noProof/>
                <w:webHidden/>
              </w:rPr>
              <w:fldChar w:fldCharType="end"/>
            </w:r>
          </w:hyperlink>
        </w:p>
        <w:p w:rsidR="00555941" w:rsidRDefault="00555941">
          <w:pPr>
            <w:pStyle w:val="TM4"/>
            <w:tabs>
              <w:tab w:val="right" w:leader="dot" w:pos="9062"/>
            </w:tabs>
            <w:rPr>
              <w:rFonts w:eastAsiaTheme="minorEastAsia" w:cstheme="minorBidi"/>
              <w:noProof/>
              <w:sz w:val="22"/>
              <w:szCs w:val="22"/>
              <w:lang w:eastAsia="fr-FR"/>
            </w:rPr>
          </w:pPr>
          <w:hyperlink w:anchor="_Toc60319544" w:history="1">
            <w:r w:rsidRPr="00DF188F">
              <w:rPr>
                <w:rStyle w:val="Lienhypertexte"/>
                <w:rFonts w:eastAsiaTheme="majorEastAsia"/>
                <w:noProof/>
              </w:rPr>
              <w:t>8.1.2.2 – Factures</w:t>
            </w:r>
            <w:r>
              <w:rPr>
                <w:noProof/>
                <w:webHidden/>
              </w:rPr>
              <w:tab/>
            </w:r>
            <w:r>
              <w:rPr>
                <w:noProof/>
                <w:webHidden/>
              </w:rPr>
              <w:fldChar w:fldCharType="begin"/>
            </w:r>
            <w:r>
              <w:rPr>
                <w:noProof/>
                <w:webHidden/>
              </w:rPr>
              <w:instrText xml:space="preserve"> PAGEREF _Toc60319544 \h </w:instrText>
            </w:r>
            <w:r>
              <w:rPr>
                <w:noProof/>
                <w:webHidden/>
              </w:rPr>
            </w:r>
            <w:r>
              <w:rPr>
                <w:noProof/>
                <w:webHidden/>
              </w:rPr>
              <w:fldChar w:fldCharType="separate"/>
            </w:r>
            <w:r>
              <w:rPr>
                <w:noProof/>
                <w:webHidden/>
              </w:rPr>
              <w:t>23</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45" w:history="1">
            <w:r w:rsidRPr="00DF188F">
              <w:rPr>
                <w:rStyle w:val="Lienhypertexte"/>
                <w:rFonts w:eastAsiaTheme="majorEastAsia"/>
                <w:noProof/>
              </w:rPr>
              <w:t>8.2 – VARIATION DES PRIX</w:t>
            </w:r>
            <w:r>
              <w:rPr>
                <w:noProof/>
                <w:webHidden/>
              </w:rPr>
              <w:tab/>
            </w:r>
            <w:r>
              <w:rPr>
                <w:noProof/>
                <w:webHidden/>
              </w:rPr>
              <w:fldChar w:fldCharType="begin"/>
            </w:r>
            <w:r>
              <w:rPr>
                <w:noProof/>
                <w:webHidden/>
              </w:rPr>
              <w:instrText xml:space="preserve"> PAGEREF _Toc60319545 \h </w:instrText>
            </w:r>
            <w:r>
              <w:rPr>
                <w:noProof/>
                <w:webHidden/>
              </w:rPr>
            </w:r>
            <w:r>
              <w:rPr>
                <w:noProof/>
                <w:webHidden/>
              </w:rPr>
              <w:fldChar w:fldCharType="separate"/>
            </w:r>
            <w:r>
              <w:rPr>
                <w:noProof/>
                <w:webHidden/>
              </w:rPr>
              <w:t>23</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46" w:history="1">
            <w:r w:rsidRPr="00DF188F">
              <w:rPr>
                <w:rStyle w:val="Lienhypertexte"/>
                <w:rFonts w:eastAsiaTheme="majorEastAsia"/>
                <w:noProof/>
              </w:rPr>
              <w:t>8.2.1 – Actualisation des prix fermes – lorsque la durée d’exécution est inférieure à 6 mois</w:t>
            </w:r>
            <w:r>
              <w:rPr>
                <w:noProof/>
                <w:webHidden/>
              </w:rPr>
              <w:tab/>
            </w:r>
            <w:r>
              <w:rPr>
                <w:noProof/>
                <w:webHidden/>
              </w:rPr>
              <w:fldChar w:fldCharType="begin"/>
            </w:r>
            <w:r>
              <w:rPr>
                <w:noProof/>
                <w:webHidden/>
              </w:rPr>
              <w:instrText xml:space="preserve"> PAGEREF _Toc60319546 \h </w:instrText>
            </w:r>
            <w:r>
              <w:rPr>
                <w:noProof/>
                <w:webHidden/>
              </w:rPr>
            </w:r>
            <w:r>
              <w:rPr>
                <w:noProof/>
                <w:webHidden/>
              </w:rPr>
              <w:fldChar w:fldCharType="separate"/>
            </w:r>
            <w:r>
              <w:rPr>
                <w:noProof/>
                <w:webHidden/>
              </w:rPr>
              <w:t>23</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47" w:history="1">
            <w:r w:rsidRPr="00DF188F">
              <w:rPr>
                <w:rStyle w:val="Lienhypertexte"/>
                <w:rFonts w:eastAsiaTheme="majorEastAsia"/>
                <w:noProof/>
              </w:rPr>
              <w:t>8.2.2 – Révision des prix– lorsque la durée d’exécution est supérieure ou égale à 6 mois</w:t>
            </w:r>
            <w:r>
              <w:rPr>
                <w:noProof/>
                <w:webHidden/>
              </w:rPr>
              <w:tab/>
            </w:r>
            <w:r>
              <w:rPr>
                <w:noProof/>
                <w:webHidden/>
              </w:rPr>
              <w:fldChar w:fldCharType="begin"/>
            </w:r>
            <w:r>
              <w:rPr>
                <w:noProof/>
                <w:webHidden/>
              </w:rPr>
              <w:instrText xml:space="preserve"> PAGEREF _Toc60319547 \h </w:instrText>
            </w:r>
            <w:r>
              <w:rPr>
                <w:noProof/>
                <w:webHidden/>
              </w:rPr>
            </w:r>
            <w:r>
              <w:rPr>
                <w:noProof/>
                <w:webHidden/>
              </w:rPr>
              <w:fldChar w:fldCharType="separate"/>
            </w:r>
            <w:r>
              <w:rPr>
                <w:noProof/>
                <w:webHidden/>
              </w:rPr>
              <w:t>24</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48" w:history="1">
            <w:r w:rsidRPr="00DF188F">
              <w:rPr>
                <w:rStyle w:val="Lienhypertexte"/>
                <w:rFonts w:eastAsiaTheme="majorEastAsia"/>
                <w:noProof/>
              </w:rPr>
              <w:t>8.2.3 – Indice de référence</w:t>
            </w:r>
            <w:r>
              <w:rPr>
                <w:noProof/>
                <w:webHidden/>
              </w:rPr>
              <w:tab/>
            </w:r>
            <w:r>
              <w:rPr>
                <w:noProof/>
                <w:webHidden/>
              </w:rPr>
              <w:fldChar w:fldCharType="begin"/>
            </w:r>
            <w:r>
              <w:rPr>
                <w:noProof/>
                <w:webHidden/>
              </w:rPr>
              <w:instrText xml:space="preserve"> PAGEREF _Toc60319548 \h </w:instrText>
            </w:r>
            <w:r>
              <w:rPr>
                <w:noProof/>
                <w:webHidden/>
              </w:rPr>
            </w:r>
            <w:r>
              <w:rPr>
                <w:noProof/>
                <w:webHidden/>
              </w:rPr>
              <w:fldChar w:fldCharType="separate"/>
            </w:r>
            <w:r>
              <w:rPr>
                <w:noProof/>
                <w:webHidden/>
              </w:rPr>
              <w:t>24</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49" w:history="1">
            <w:r w:rsidRPr="00DF188F">
              <w:rPr>
                <w:rStyle w:val="Lienhypertexte"/>
                <w:rFonts w:eastAsiaTheme="majorEastAsia"/>
                <w:noProof/>
              </w:rPr>
              <w:t>8.2.4 – Actualisation ou révision provisoire</w:t>
            </w:r>
            <w:r>
              <w:rPr>
                <w:noProof/>
                <w:webHidden/>
              </w:rPr>
              <w:tab/>
            </w:r>
            <w:r>
              <w:rPr>
                <w:noProof/>
                <w:webHidden/>
              </w:rPr>
              <w:fldChar w:fldCharType="begin"/>
            </w:r>
            <w:r>
              <w:rPr>
                <w:noProof/>
                <w:webHidden/>
              </w:rPr>
              <w:instrText xml:space="preserve"> PAGEREF _Toc60319549 \h </w:instrText>
            </w:r>
            <w:r>
              <w:rPr>
                <w:noProof/>
                <w:webHidden/>
              </w:rPr>
            </w:r>
            <w:r>
              <w:rPr>
                <w:noProof/>
                <w:webHidden/>
              </w:rPr>
              <w:fldChar w:fldCharType="separate"/>
            </w:r>
            <w:r>
              <w:rPr>
                <w:noProof/>
                <w:webHidden/>
              </w:rPr>
              <w:t>24</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50" w:history="1">
            <w:r w:rsidRPr="00DF188F">
              <w:rPr>
                <w:rStyle w:val="Lienhypertexte"/>
                <w:rFonts w:eastAsiaTheme="majorEastAsia"/>
                <w:noProof/>
              </w:rPr>
              <w:t>8.3 – ACOMPTES SUR APPROVISIONNEMENTS</w:t>
            </w:r>
            <w:r>
              <w:rPr>
                <w:noProof/>
                <w:webHidden/>
              </w:rPr>
              <w:tab/>
            </w:r>
            <w:r>
              <w:rPr>
                <w:noProof/>
                <w:webHidden/>
              </w:rPr>
              <w:fldChar w:fldCharType="begin"/>
            </w:r>
            <w:r>
              <w:rPr>
                <w:noProof/>
                <w:webHidden/>
              </w:rPr>
              <w:instrText xml:space="preserve"> PAGEREF _Toc60319550 \h </w:instrText>
            </w:r>
            <w:r>
              <w:rPr>
                <w:noProof/>
                <w:webHidden/>
              </w:rPr>
            </w:r>
            <w:r>
              <w:rPr>
                <w:noProof/>
                <w:webHidden/>
              </w:rPr>
              <w:fldChar w:fldCharType="separate"/>
            </w:r>
            <w:r>
              <w:rPr>
                <w:noProof/>
                <w:webHidden/>
              </w:rPr>
              <w:t>25</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51" w:history="1">
            <w:r w:rsidRPr="00DF188F">
              <w:rPr>
                <w:rStyle w:val="Lienhypertexte"/>
                <w:rFonts w:eastAsiaTheme="majorEastAsia"/>
                <w:noProof/>
              </w:rPr>
              <w:t>8.4 – AVANCES</w:t>
            </w:r>
            <w:r>
              <w:rPr>
                <w:noProof/>
                <w:webHidden/>
              </w:rPr>
              <w:tab/>
            </w:r>
            <w:r>
              <w:rPr>
                <w:noProof/>
                <w:webHidden/>
              </w:rPr>
              <w:fldChar w:fldCharType="begin"/>
            </w:r>
            <w:r>
              <w:rPr>
                <w:noProof/>
                <w:webHidden/>
              </w:rPr>
              <w:instrText xml:space="preserve"> PAGEREF _Toc60319551 \h </w:instrText>
            </w:r>
            <w:r>
              <w:rPr>
                <w:noProof/>
                <w:webHidden/>
              </w:rPr>
            </w:r>
            <w:r>
              <w:rPr>
                <w:noProof/>
                <w:webHidden/>
              </w:rPr>
              <w:fldChar w:fldCharType="separate"/>
            </w:r>
            <w:r>
              <w:rPr>
                <w:noProof/>
                <w:webHidden/>
              </w:rPr>
              <w:t>26</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52" w:history="1">
            <w:r w:rsidRPr="00DF188F">
              <w:rPr>
                <w:rStyle w:val="Lienhypertexte"/>
                <w:rFonts w:eastAsiaTheme="majorEastAsia"/>
                <w:noProof/>
              </w:rPr>
              <w:t>8.4.1 – Avances prévues par le marché</w:t>
            </w:r>
            <w:r>
              <w:rPr>
                <w:noProof/>
                <w:webHidden/>
              </w:rPr>
              <w:tab/>
            </w:r>
            <w:r>
              <w:rPr>
                <w:noProof/>
                <w:webHidden/>
              </w:rPr>
              <w:fldChar w:fldCharType="begin"/>
            </w:r>
            <w:r>
              <w:rPr>
                <w:noProof/>
                <w:webHidden/>
              </w:rPr>
              <w:instrText xml:space="preserve"> PAGEREF _Toc60319552 \h </w:instrText>
            </w:r>
            <w:r>
              <w:rPr>
                <w:noProof/>
                <w:webHidden/>
              </w:rPr>
            </w:r>
            <w:r>
              <w:rPr>
                <w:noProof/>
                <w:webHidden/>
              </w:rPr>
              <w:fldChar w:fldCharType="separate"/>
            </w:r>
            <w:r>
              <w:rPr>
                <w:noProof/>
                <w:webHidden/>
              </w:rPr>
              <w:t>26</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53" w:history="1">
            <w:r w:rsidRPr="00DF188F">
              <w:rPr>
                <w:rStyle w:val="Lienhypertexte"/>
                <w:rFonts w:eastAsiaTheme="majorEastAsia"/>
                <w:noProof/>
              </w:rPr>
              <w:t>8.4.2 – Conditions d’accès aux avances prévues par le marché</w:t>
            </w:r>
            <w:r>
              <w:rPr>
                <w:noProof/>
                <w:webHidden/>
              </w:rPr>
              <w:tab/>
            </w:r>
            <w:r>
              <w:rPr>
                <w:noProof/>
                <w:webHidden/>
              </w:rPr>
              <w:fldChar w:fldCharType="begin"/>
            </w:r>
            <w:r>
              <w:rPr>
                <w:noProof/>
                <w:webHidden/>
              </w:rPr>
              <w:instrText xml:space="preserve"> PAGEREF _Toc60319553 \h </w:instrText>
            </w:r>
            <w:r>
              <w:rPr>
                <w:noProof/>
                <w:webHidden/>
              </w:rPr>
            </w:r>
            <w:r>
              <w:rPr>
                <w:noProof/>
                <w:webHidden/>
              </w:rPr>
              <w:fldChar w:fldCharType="separate"/>
            </w:r>
            <w:r>
              <w:rPr>
                <w:noProof/>
                <w:webHidden/>
              </w:rPr>
              <w:t>26</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54" w:history="1">
            <w:r w:rsidRPr="00DF188F">
              <w:rPr>
                <w:rStyle w:val="Lienhypertexte"/>
                <w:rFonts w:eastAsiaTheme="majorEastAsia"/>
                <w:noProof/>
              </w:rPr>
              <w:t>8.4.3 – Remboursement des avances</w:t>
            </w:r>
            <w:r>
              <w:rPr>
                <w:noProof/>
                <w:webHidden/>
              </w:rPr>
              <w:tab/>
            </w:r>
            <w:r>
              <w:rPr>
                <w:noProof/>
                <w:webHidden/>
              </w:rPr>
              <w:fldChar w:fldCharType="begin"/>
            </w:r>
            <w:r>
              <w:rPr>
                <w:noProof/>
                <w:webHidden/>
              </w:rPr>
              <w:instrText xml:space="preserve"> PAGEREF _Toc60319554 \h </w:instrText>
            </w:r>
            <w:r>
              <w:rPr>
                <w:noProof/>
                <w:webHidden/>
              </w:rPr>
            </w:r>
            <w:r>
              <w:rPr>
                <w:noProof/>
                <w:webHidden/>
              </w:rPr>
              <w:fldChar w:fldCharType="separate"/>
            </w:r>
            <w:r>
              <w:rPr>
                <w:noProof/>
                <w:webHidden/>
              </w:rPr>
              <w:t>27</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55" w:history="1">
            <w:r w:rsidRPr="00DF188F">
              <w:rPr>
                <w:rStyle w:val="Lienhypertexte"/>
                <w:rFonts w:eastAsiaTheme="majorEastAsia"/>
                <w:noProof/>
              </w:rPr>
              <w:t>8.5 – AUTO-LIQUIDATION DE LA TGC</w:t>
            </w:r>
            <w:r>
              <w:rPr>
                <w:noProof/>
                <w:webHidden/>
              </w:rPr>
              <w:tab/>
            </w:r>
            <w:r>
              <w:rPr>
                <w:noProof/>
                <w:webHidden/>
              </w:rPr>
              <w:fldChar w:fldCharType="begin"/>
            </w:r>
            <w:r>
              <w:rPr>
                <w:noProof/>
                <w:webHidden/>
              </w:rPr>
              <w:instrText xml:space="preserve"> PAGEREF _Toc60319555 \h </w:instrText>
            </w:r>
            <w:r>
              <w:rPr>
                <w:noProof/>
                <w:webHidden/>
              </w:rPr>
            </w:r>
            <w:r>
              <w:rPr>
                <w:noProof/>
                <w:webHidden/>
              </w:rPr>
              <w:fldChar w:fldCharType="separate"/>
            </w:r>
            <w:r>
              <w:rPr>
                <w:noProof/>
                <w:webHidden/>
              </w:rPr>
              <w:t>27</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56" w:history="1">
            <w:r w:rsidRPr="00DF188F">
              <w:rPr>
                <w:rStyle w:val="Lienhypertexte"/>
                <w:rFonts w:eastAsiaTheme="majorEastAsia"/>
                <w:noProof/>
              </w:rPr>
              <w:t>ARTICLE 9 – PRESENTATION DES DOCUMENTS DE DEMANDE DE PAIEMENT</w:t>
            </w:r>
            <w:r>
              <w:rPr>
                <w:noProof/>
                <w:webHidden/>
              </w:rPr>
              <w:tab/>
            </w:r>
            <w:r>
              <w:rPr>
                <w:noProof/>
                <w:webHidden/>
              </w:rPr>
              <w:fldChar w:fldCharType="begin"/>
            </w:r>
            <w:r>
              <w:rPr>
                <w:noProof/>
                <w:webHidden/>
              </w:rPr>
              <w:instrText xml:space="preserve"> PAGEREF _Toc60319556 \h </w:instrText>
            </w:r>
            <w:r>
              <w:rPr>
                <w:noProof/>
                <w:webHidden/>
              </w:rPr>
            </w:r>
            <w:r>
              <w:rPr>
                <w:noProof/>
                <w:webHidden/>
              </w:rPr>
              <w:fldChar w:fldCharType="separate"/>
            </w:r>
            <w:r>
              <w:rPr>
                <w:noProof/>
                <w:webHidden/>
              </w:rPr>
              <w:t>28</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57" w:history="1">
            <w:r w:rsidRPr="00DF188F">
              <w:rPr>
                <w:rStyle w:val="Lienhypertexte"/>
                <w:rFonts w:eastAsiaTheme="majorEastAsia"/>
                <w:noProof/>
              </w:rPr>
              <w:t>9.1 – FORME DES DOCUMENTS DE PAIEMENT</w:t>
            </w:r>
            <w:r>
              <w:rPr>
                <w:noProof/>
                <w:webHidden/>
              </w:rPr>
              <w:tab/>
            </w:r>
            <w:r>
              <w:rPr>
                <w:noProof/>
                <w:webHidden/>
              </w:rPr>
              <w:fldChar w:fldCharType="begin"/>
            </w:r>
            <w:r>
              <w:rPr>
                <w:noProof/>
                <w:webHidden/>
              </w:rPr>
              <w:instrText xml:space="preserve"> PAGEREF _Toc60319557 \h </w:instrText>
            </w:r>
            <w:r>
              <w:rPr>
                <w:noProof/>
                <w:webHidden/>
              </w:rPr>
            </w:r>
            <w:r>
              <w:rPr>
                <w:noProof/>
                <w:webHidden/>
              </w:rPr>
              <w:fldChar w:fldCharType="separate"/>
            </w:r>
            <w:r>
              <w:rPr>
                <w:noProof/>
                <w:webHidden/>
              </w:rPr>
              <w:t>28</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58" w:history="1">
            <w:r w:rsidRPr="00DF188F">
              <w:rPr>
                <w:rStyle w:val="Lienhypertexte"/>
                <w:rFonts w:eastAsiaTheme="majorEastAsia"/>
                <w:noProof/>
              </w:rPr>
              <w:t>9.1.1 – Mentions obligatoires sur les factures</w:t>
            </w:r>
            <w:r>
              <w:rPr>
                <w:noProof/>
                <w:webHidden/>
              </w:rPr>
              <w:tab/>
            </w:r>
            <w:r>
              <w:rPr>
                <w:noProof/>
                <w:webHidden/>
              </w:rPr>
              <w:fldChar w:fldCharType="begin"/>
            </w:r>
            <w:r>
              <w:rPr>
                <w:noProof/>
                <w:webHidden/>
              </w:rPr>
              <w:instrText xml:space="preserve"> PAGEREF _Toc60319558 \h </w:instrText>
            </w:r>
            <w:r>
              <w:rPr>
                <w:noProof/>
                <w:webHidden/>
              </w:rPr>
            </w:r>
            <w:r>
              <w:rPr>
                <w:noProof/>
                <w:webHidden/>
              </w:rPr>
              <w:fldChar w:fldCharType="separate"/>
            </w:r>
            <w:r>
              <w:rPr>
                <w:noProof/>
                <w:webHidden/>
              </w:rPr>
              <w:t>28</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59" w:history="1">
            <w:r w:rsidRPr="00DF188F">
              <w:rPr>
                <w:rStyle w:val="Lienhypertexte"/>
                <w:rFonts w:eastAsiaTheme="majorEastAsia"/>
                <w:noProof/>
              </w:rPr>
              <w:t>9.1.2 – Décomptes et états d’acompte</w:t>
            </w:r>
            <w:r>
              <w:rPr>
                <w:noProof/>
                <w:webHidden/>
              </w:rPr>
              <w:tab/>
            </w:r>
            <w:r>
              <w:rPr>
                <w:noProof/>
                <w:webHidden/>
              </w:rPr>
              <w:fldChar w:fldCharType="begin"/>
            </w:r>
            <w:r>
              <w:rPr>
                <w:noProof/>
                <w:webHidden/>
              </w:rPr>
              <w:instrText xml:space="preserve"> PAGEREF _Toc60319559 \h </w:instrText>
            </w:r>
            <w:r>
              <w:rPr>
                <w:noProof/>
                <w:webHidden/>
              </w:rPr>
            </w:r>
            <w:r>
              <w:rPr>
                <w:noProof/>
                <w:webHidden/>
              </w:rPr>
              <w:fldChar w:fldCharType="separate"/>
            </w:r>
            <w:r>
              <w:rPr>
                <w:noProof/>
                <w:webHidden/>
              </w:rPr>
              <w:t>28</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60" w:history="1">
            <w:r w:rsidRPr="00DF188F">
              <w:rPr>
                <w:rStyle w:val="Lienhypertexte"/>
                <w:rFonts w:eastAsiaTheme="majorEastAsia"/>
                <w:noProof/>
              </w:rPr>
              <w:t>9.1.3 – Factures</w:t>
            </w:r>
            <w:r>
              <w:rPr>
                <w:noProof/>
                <w:webHidden/>
              </w:rPr>
              <w:tab/>
            </w:r>
            <w:r>
              <w:rPr>
                <w:noProof/>
                <w:webHidden/>
              </w:rPr>
              <w:fldChar w:fldCharType="begin"/>
            </w:r>
            <w:r>
              <w:rPr>
                <w:noProof/>
                <w:webHidden/>
              </w:rPr>
              <w:instrText xml:space="preserve"> PAGEREF _Toc60319560 \h </w:instrText>
            </w:r>
            <w:r>
              <w:rPr>
                <w:noProof/>
                <w:webHidden/>
              </w:rPr>
            </w:r>
            <w:r>
              <w:rPr>
                <w:noProof/>
                <w:webHidden/>
              </w:rPr>
              <w:fldChar w:fldCharType="separate"/>
            </w:r>
            <w:r>
              <w:rPr>
                <w:noProof/>
                <w:webHidden/>
              </w:rPr>
              <w:t>29</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61" w:history="1">
            <w:r w:rsidRPr="00DF188F">
              <w:rPr>
                <w:rStyle w:val="Lienhypertexte"/>
                <w:rFonts w:eastAsiaTheme="majorEastAsia"/>
                <w:noProof/>
              </w:rPr>
              <w:t>9.2 – ENVOI DES DOCUMENTS DE DEMANDE DE PAIEMENT</w:t>
            </w:r>
            <w:r>
              <w:rPr>
                <w:noProof/>
                <w:webHidden/>
              </w:rPr>
              <w:tab/>
            </w:r>
            <w:r>
              <w:rPr>
                <w:noProof/>
                <w:webHidden/>
              </w:rPr>
              <w:fldChar w:fldCharType="begin"/>
            </w:r>
            <w:r>
              <w:rPr>
                <w:noProof/>
                <w:webHidden/>
              </w:rPr>
              <w:instrText xml:space="preserve"> PAGEREF _Toc60319561 \h </w:instrText>
            </w:r>
            <w:r>
              <w:rPr>
                <w:noProof/>
                <w:webHidden/>
              </w:rPr>
            </w:r>
            <w:r>
              <w:rPr>
                <w:noProof/>
                <w:webHidden/>
              </w:rPr>
              <w:fldChar w:fldCharType="separate"/>
            </w:r>
            <w:r>
              <w:rPr>
                <w:noProof/>
                <w:webHidden/>
              </w:rPr>
              <w:t>29</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62" w:history="1">
            <w:r w:rsidRPr="00DF188F">
              <w:rPr>
                <w:rStyle w:val="Lienhypertexte"/>
                <w:rFonts w:eastAsiaTheme="majorEastAsia"/>
                <w:noProof/>
              </w:rPr>
              <w:t>9.3 – INTERVENTION D’UN PRESTATAIRE CONDITIONNANT LE PAIEMENT DES SOMMES DUES</w:t>
            </w:r>
            <w:r>
              <w:rPr>
                <w:noProof/>
                <w:webHidden/>
              </w:rPr>
              <w:tab/>
            </w:r>
            <w:r>
              <w:rPr>
                <w:noProof/>
                <w:webHidden/>
              </w:rPr>
              <w:fldChar w:fldCharType="begin"/>
            </w:r>
            <w:r>
              <w:rPr>
                <w:noProof/>
                <w:webHidden/>
              </w:rPr>
              <w:instrText xml:space="preserve"> PAGEREF _Toc60319562 \h </w:instrText>
            </w:r>
            <w:r>
              <w:rPr>
                <w:noProof/>
                <w:webHidden/>
              </w:rPr>
            </w:r>
            <w:r>
              <w:rPr>
                <w:noProof/>
                <w:webHidden/>
              </w:rPr>
              <w:fldChar w:fldCharType="separate"/>
            </w:r>
            <w:r>
              <w:rPr>
                <w:noProof/>
                <w:webHidden/>
              </w:rPr>
              <w:t>29</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63" w:history="1">
            <w:r w:rsidRPr="00DF188F">
              <w:rPr>
                <w:rStyle w:val="Lienhypertexte"/>
                <w:rFonts w:eastAsiaTheme="majorEastAsia"/>
                <w:noProof/>
              </w:rPr>
              <w:t>9.4 – DELAI DE MANDATEMENT</w:t>
            </w:r>
            <w:r>
              <w:rPr>
                <w:noProof/>
                <w:webHidden/>
              </w:rPr>
              <w:tab/>
            </w:r>
            <w:r>
              <w:rPr>
                <w:noProof/>
                <w:webHidden/>
              </w:rPr>
              <w:fldChar w:fldCharType="begin"/>
            </w:r>
            <w:r>
              <w:rPr>
                <w:noProof/>
                <w:webHidden/>
              </w:rPr>
              <w:instrText xml:space="preserve"> PAGEREF _Toc60319563 \h </w:instrText>
            </w:r>
            <w:r>
              <w:rPr>
                <w:noProof/>
                <w:webHidden/>
              </w:rPr>
            </w:r>
            <w:r>
              <w:rPr>
                <w:noProof/>
                <w:webHidden/>
              </w:rPr>
              <w:fldChar w:fldCharType="separate"/>
            </w:r>
            <w:r>
              <w:rPr>
                <w:noProof/>
                <w:webHidden/>
              </w:rPr>
              <w:t>30</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64" w:history="1">
            <w:r w:rsidRPr="00DF188F">
              <w:rPr>
                <w:rStyle w:val="Lienhypertexte"/>
                <w:rFonts w:eastAsiaTheme="majorEastAsia"/>
                <w:noProof/>
              </w:rPr>
              <w:t>ARTICLE 10  - DELAI DE GARANTIE, GARANTIES FINANCIERES, SURETÉS, ASSURANCES</w:t>
            </w:r>
            <w:r>
              <w:rPr>
                <w:noProof/>
                <w:webHidden/>
              </w:rPr>
              <w:tab/>
            </w:r>
            <w:r>
              <w:rPr>
                <w:noProof/>
                <w:webHidden/>
              </w:rPr>
              <w:fldChar w:fldCharType="begin"/>
            </w:r>
            <w:r>
              <w:rPr>
                <w:noProof/>
                <w:webHidden/>
              </w:rPr>
              <w:instrText xml:space="preserve"> PAGEREF _Toc60319564 \h </w:instrText>
            </w:r>
            <w:r>
              <w:rPr>
                <w:noProof/>
                <w:webHidden/>
              </w:rPr>
            </w:r>
            <w:r>
              <w:rPr>
                <w:noProof/>
                <w:webHidden/>
              </w:rPr>
              <w:fldChar w:fldCharType="separate"/>
            </w:r>
            <w:r>
              <w:rPr>
                <w:noProof/>
                <w:webHidden/>
              </w:rPr>
              <w:t>31</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65" w:history="1">
            <w:r w:rsidRPr="00DF188F">
              <w:rPr>
                <w:rStyle w:val="Lienhypertexte"/>
                <w:rFonts w:eastAsiaTheme="majorEastAsia"/>
                <w:noProof/>
              </w:rPr>
              <w:t>10.1 – DELAI DE GARANTIE</w:t>
            </w:r>
            <w:r>
              <w:rPr>
                <w:noProof/>
                <w:webHidden/>
              </w:rPr>
              <w:tab/>
            </w:r>
            <w:r>
              <w:rPr>
                <w:noProof/>
                <w:webHidden/>
              </w:rPr>
              <w:fldChar w:fldCharType="begin"/>
            </w:r>
            <w:r>
              <w:rPr>
                <w:noProof/>
                <w:webHidden/>
              </w:rPr>
              <w:instrText xml:space="preserve"> PAGEREF _Toc60319565 \h </w:instrText>
            </w:r>
            <w:r>
              <w:rPr>
                <w:noProof/>
                <w:webHidden/>
              </w:rPr>
            </w:r>
            <w:r>
              <w:rPr>
                <w:noProof/>
                <w:webHidden/>
              </w:rPr>
              <w:fldChar w:fldCharType="separate"/>
            </w:r>
            <w:r>
              <w:rPr>
                <w:noProof/>
                <w:webHidden/>
              </w:rPr>
              <w:t>31</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66" w:history="1">
            <w:r w:rsidRPr="00DF188F">
              <w:rPr>
                <w:rStyle w:val="Lienhypertexte"/>
                <w:rFonts w:eastAsiaTheme="majorEastAsia"/>
                <w:noProof/>
              </w:rPr>
              <w:t>10.2 - GARANTIES FINANCIERES, SURETES</w:t>
            </w:r>
            <w:r>
              <w:rPr>
                <w:noProof/>
                <w:webHidden/>
              </w:rPr>
              <w:tab/>
            </w:r>
            <w:r>
              <w:rPr>
                <w:noProof/>
                <w:webHidden/>
              </w:rPr>
              <w:fldChar w:fldCharType="begin"/>
            </w:r>
            <w:r>
              <w:rPr>
                <w:noProof/>
                <w:webHidden/>
              </w:rPr>
              <w:instrText xml:space="preserve"> PAGEREF _Toc60319566 \h </w:instrText>
            </w:r>
            <w:r>
              <w:rPr>
                <w:noProof/>
                <w:webHidden/>
              </w:rPr>
            </w:r>
            <w:r>
              <w:rPr>
                <w:noProof/>
                <w:webHidden/>
              </w:rPr>
              <w:fldChar w:fldCharType="separate"/>
            </w:r>
            <w:r>
              <w:rPr>
                <w:noProof/>
                <w:webHidden/>
              </w:rPr>
              <w:t>31</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67" w:history="1">
            <w:r w:rsidRPr="00DF188F">
              <w:rPr>
                <w:rStyle w:val="Lienhypertexte"/>
                <w:rFonts w:eastAsiaTheme="majorEastAsia"/>
                <w:noProof/>
              </w:rPr>
              <w:t>10.2.1 - Garanties financières prévues au titre du marché</w:t>
            </w:r>
            <w:r>
              <w:rPr>
                <w:noProof/>
                <w:webHidden/>
              </w:rPr>
              <w:tab/>
            </w:r>
            <w:r>
              <w:rPr>
                <w:noProof/>
                <w:webHidden/>
              </w:rPr>
              <w:fldChar w:fldCharType="begin"/>
            </w:r>
            <w:r>
              <w:rPr>
                <w:noProof/>
                <w:webHidden/>
              </w:rPr>
              <w:instrText xml:space="preserve"> PAGEREF _Toc60319567 \h </w:instrText>
            </w:r>
            <w:r>
              <w:rPr>
                <w:noProof/>
                <w:webHidden/>
              </w:rPr>
            </w:r>
            <w:r>
              <w:rPr>
                <w:noProof/>
                <w:webHidden/>
              </w:rPr>
              <w:fldChar w:fldCharType="separate"/>
            </w:r>
            <w:r>
              <w:rPr>
                <w:noProof/>
                <w:webHidden/>
              </w:rPr>
              <w:t>31</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68" w:history="1">
            <w:r w:rsidRPr="00DF188F">
              <w:rPr>
                <w:rStyle w:val="Lienhypertexte"/>
                <w:rFonts w:eastAsiaTheme="majorEastAsia"/>
                <w:noProof/>
              </w:rPr>
              <w:t>10.2.2 – Modalités de mise en place des garanties financières.</w:t>
            </w:r>
            <w:r>
              <w:rPr>
                <w:noProof/>
                <w:webHidden/>
              </w:rPr>
              <w:tab/>
            </w:r>
            <w:r>
              <w:rPr>
                <w:noProof/>
                <w:webHidden/>
              </w:rPr>
              <w:fldChar w:fldCharType="begin"/>
            </w:r>
            <w:r>
              <w:rPr>
                <w:noProof/>
                <w:webHidden/>
              </w:rPr>
              <w:instrText xml:space="preserve"> PAGEREF _Toc60319568 \h </w:instrText>
            </w:r>
            <w:r>
              <w:rPr>
                <w:noProof/>
                <w:webHidden/>
              </w:rPr>
            </w:r>
            <w:r>
              <w:rPr>
                <w:noProof/>
                <w:webHidden/>
              </w:rPr>
              <w:fldChar w:fldCharType="separate"/>
            </w:r>
            <w:r>
              <w:rPr>
                <w:noProof/>
                <w:webHidden/>
              </w:rPr>
              <w:t>31</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69" w:history="1">
            <w:r w:rsidRPr="00DF188F">
              <w:rPr>
                <w:rStyle w:val="Lienhypertexte"/>
                <w:rFonts w:eastAsiaTheme="majorEastAsia"/>
                <w:noProof/>
              </w:rPr>
              <w:t>10.2.3 – Utilisation des garanties financières pour faire intervenir un prestataire tiers</w:t>
            </w:r>
            <w:r>
              <w:rPr>
                <w:noProof/>
                <w:webHidden/>
              </w:rPr>
              <w:tab/>
            </w:r>
            <w:r>
              <w:rPr>
                <w:noProof/>
                <w:webHidden/>
              </w:rPr>
              <w:fldChar w:fldCharType="begin"/>
            </w:r>
            <w:r>
              <w:rPr>
                <w:noProof/>
                <w:webHidden/>
              </w:rPr>
              <w:instrText xml:space="preserve"> PAGEREF _Toc60319569 \h </w:instrText>
            </w:r>
            <w:r>
              <w:rPr>
                <w:noProof/>
                <w:webHidden/>
              </w:rPr>
            </w:r>
            <w:r>
              <w:rPr>
                <w:noProof/>
                <w:webHidden/>
              </w:rPr>
              <w:fldChar w:fldCharType="separate"/>
            </w:r>
            <w:r>
              <w:rPr>
                <w:noProof/>
                <w:webHidden/>
              </w:rPr>
              <w:t>32</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70" w:history="1">
            <w:r w:rsidRPr="00DF188F">
              <w:rPr>
                <w:rStyle w:val="Lienhypertexte"/>
                <w:rFonts w:eastAsiaTheme="majorEastAsia"/>
                <w:noProof/>
              </w:rPr>
              <w:t>10.2.4 – Restitution des garanties financières</w:t>
            </w:r>
            <w:r>
              <w:rPr>
                <w:noProof/>
                <w:webHidden/>
              </w:rPr>
              <w:tab/>
            </w:r>
            <w:r>
              <w:rPr>
                <w:noProof/>
                <w:webHidden/>
              </w:rPr>
              <w:fldChar w:fldCharType="begin"/>
            </w:r>
            <w:r>
              <w:rPr>
                <w:noProof/>
                <w:webHidden/>
              </w:rPr>
              <w:instrText xml:space="preserve"> PAGEREF _Toc60319570 \h </w:instrText>
            </w:r>
            <w:r>
              <w:rPr>
                <w:noProof/>
                <w:webHidden/>
              </w:rPr>
            </w:r>
            <w:r>
              <w:rPr>
                <w:noProof/>
                <w:webHidden/>
              </w:rPr>
              <w:fldChar w:fldCharType="separate"/>
            </w:r>
            <w:r>
              <w:rPr>
                <w:noProof/>
                <w:webHidden/>
              </w:rPr>
              <w:t>32</w:t>
            </w:r>
            <w:r>
              <w:rPr>
                <w:noProof/>
                <w:webHidden/>
              </w:rPr>
              <w:fldChar w:fldCharType="end"/>
            </w:r>
          </w:hyperlink>
        </w:p>
        <w:p w:rsidR="00555941" w:rsidRDefault="00555941">
          <w:pPr>
            <w:pStyle w:val="TM2"/>
            <w:tabs>
              <w:tab w:val="right" w:leader="dot" w:pos="9062"/>
            </w:tabs>
            <w:rPr>
              <w:rFonts w:eastAsiaTheme="minorEastAsia" w:cstheme="minorBidi"/>
              <w:smallCaps w:val="0"/>
              <w:noProof/>
              <w:sz w:val="22"/>
              <w:szCs w:val="22"/>
              <w:lang w:eastAsia="fr-FR"/>
            </w:rPr>
          </w:pPr>
          <w:hyperlink w:anchor="_Toc60319571" w:history="1">
            <w:r w:rsidRPr="00DF188F">
              <w:rPr>
                <w:rStyle w:val="Lienhypertexte"/>
                <w:rFonts w:eastAsiaTheme="majorEastAsia"/>
                <w:noProof/>
              </w:rPr>
              <w:t>10.3  – ASSURANCES</w:t>
            </w:r>
            <w:r>
              <w:rPr>
                <w:noProof/>
                <w:webHidden/>
              </w:rPr>
              <w:tab/>
            </w:r>
            <w:r>
              <w:rPr>
                <w:noProof/>
                <w:webHidden/>
              </w:rPr>
              <w:fldChar w:fldCharType="begin"/>
            </w:r>
            <w:r>
              <w:rPr>
                <w:noProof/>
                <w:webHidden/>
              </w:rPr>
              <w:instrText xml:space="preserve"> PAGEREF _Toc60319571 \h </w:instrText>
            </w:r>
            <w:r>
              <w:rPr>
                <w:noProof/>
                <w:webHidden/>
              </w:rPr>
            </w:r>
            <w:r>
              <w:rPr>
                <w:noProof/>
                <w:webHidden/>
              </w:rPr>
              <w:fldChar w:fldCharType="separate"/>
            </w:r>
            <w:r>
              <w:rPr>
                <w:noProof/>
                <w:webHidden/>
              </w:rPr>
              <w:t>33</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72" w:history="1">
            <w:r w:rsidRPr="00DF188F">
              <w:rPr>
                <w:rStyle w:val="Lienhypertexte"/>
                <w:rFonts w:eastAsiaTheme="majorEastAsia"/>
                <w:noProof/>
              </w:rPr>
              <w:t>10.3.1 – Assurance professionnelle</w:t>
            </w:r>
            <w:r>
              <w:rPr>
                <w:noProof/>
                <w:webHidden/>
              </w:rPr>
              <w:tab/>
            </w:r>
            <w:r>
              <w:rPr>
                <w:noProof/>
                <w:webHidden/>
              </w:rPr>
              <w:fldChar w:fldCharType="begin"/>
            </w:r>
            <w:r>
              <w:rPr>
                <w:noProof/>
                <w:webHidden/>
              </w:rPr>
              <w:instrText xml:space="preserve"> PAGEREF _Toc60319572 \h </w:instrText>
            </w:r>
            <w:r>
              <w:rPr>
                <w:noProof/>
                <w:webHidden/>
              </w:rPr>
            </w:r>
            <w:r>
              <w:rPr>
                <w:noProof/>
                <w:webHidden/>
              </w:rPr>
              <w:fldChar w:fldCharType="separate"/>
            </w:r>
            <w:r>
              <w:rPr>
                <w:noProof/>
                <w:webHidden/>
              </w:rPr>
              <w:t>33</w:t>
            </w:r>
            <w:r>
              <w:rPr>
                <w:noProof/>
                <w:webHidden/>
              </w:rPr>
              <w:fldChar w:fldCharType="end"/>
            </w:r>
          </w:hyperlink>
        </w:p>
        <w:p w:rsidR="00555941" w:rsidRDefault="00555941">
          <w:pPr>
            <w:pStyle w:val="TM3"/>
            <w:tabs>
              <w:tab w:val="right" w:leader="dot" w:pos="9062"/>
            </w:tabs>
            <w:rPr>
              <w:rFonts w:eastAsiaTheme="minorEastAsia" w:cstheme="minorBidi"/>
              <w:i w:val="0"/>
              <w:iCs w:val="0"/>
              <w:noProof/>
              <w:sz w:val="22"/>
              <w:szCs w:val="22"/>
              <w:lang w:eastAsia="fr-FR"/>
            </w:rPr>
          </w:pPr>
          <w:hyperlink w:anchor="_Toc60319573" w:history="1">
            <w:r w:rsidRPr="00DF188F">
              <w:rPr>
                <w:rStyle w:val="Lienhypertexte"/>
                <w:rFonts w:eastAsiaTheme="majorEastAsia"/>
                <w:noProof/>
              </w:rPr>
              <w:t>10.3.2 – Assurance décennale</w:t>
            </w:r>
            <w:r>
              <w:rPr>
                <w:noProof/>
                <w:webHidden/>
              </w:rPr>
              <w:tab/>
            </w:r>
            <w:r>
              <w:rPr>
                <w:noProof/>
                <w:webHidden/>
              </w:rPr>
              <w:fldChar w:fldCharType="begin"/>
            </w:r>
            <w:r>
              <w:rPr>
                <w:noProof/>
                <w:webHidden/>
              </w:rPr>
              <w:instrText xml:space="preserve"> PAGEREF _Toc60319573 \h </w:instrText>
            </w:r>
            <w:r>
              <w:rPr>
                <w:noProof/>
                <w:webHidden/>
              </w:rPr>
            </w:r>
            <w:r>
              <w:rPr>
                <w:noProof/>
                <w:webHidden/>
              </w:rPr>
              <w:fldChar w:fldCharType="separate"/>
            </w:r>
            <w:r>
              <w:rPr>
                <w:noProof/>
                <w:webHidden/>
              </w:rPr>
              <w:t>33</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74" w:history="1">
            <w:r w:rsidRPr="00DF188F">
              <w:rPr>
                <w:rStyle w:val="Lienhypertexte"/>
                <w:rFonts w:eastAsiaTheme="majorEastAsia"/>
                <w:noProof/>
              </w:rPr>
              <w:t>ARTICLE 11  -  PROPRIETE INTELLECTUELLE</w:t>
            </w:r>
            <w:r>
              <w:rPr>
                <w:noProof/>
                <w:webHidden/>
              </w:rPr>
              <w:tab/>
            </w:r>
            <w:r>
              <w:rPr>
                <w:noProof/>
                <w:webHidden/>
              </w:rPr>
              <w:fldChar w:fldCharType="begin"/>
            </w:r>
            <w:r>
              <w:rPr>
                <w:noProof/>
                <w:webHidden/>
              </w:rPr>
              <w:instrText xml:space="preserve"> PAGEREF _Toc60319574 \h </w:instrText>
            </w:r>
            <w:r>
              <w:rPr>
                <w:noProof/>
                <w:webHidden/>
              </w:rPr>
            </w:r>
            <w:r>
              <w:rPr>
                <w:noProof/>
                <w:webHidden/>
              </w:rPr>
              <w:fldChar w:fldCharType="separate"/>
            </w:r>
            <w:r>
              <w:rPr>
                <w:noProof/>
                <w:webHidden/>
              </w:rPr>
              <w:t>34</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75" w:history="1">
            <w:r w:rsidRPr="00DF188F">
              <w:rPr>
                <w:rStyle w:val="Lienhypertexte"/>
                <w:rFonts w:eastAsiaTheme="majorEastAsia"/>
                <w:noProof/>
              </w:rPr>
              <w:t>ARTICLE  12 - RESILIATION</w:t>
            </w:r>
            <w:r>
              <w:rPr>
                <w:noProof/>
                <w:webHidden/>
              </w:rPr>
              <w:tab/>
            </w:r>
            <w:r>
              <w:rPr>
                <w:noProof/>
                <w:webHidden/>
              </w:rPr>
              <w:fldChar w:fldCharType="begin"/>
            </w:r>
            <w:r>
              <w:rPr>
                <w:noProof/>
                <w:webHidden/>
              </w:rPr>
              <w:instrText xml:space="preserve"> PAGEREF _Toc60319575 \h </w:instrText>
            </w:r>
            <w:r>
              <w:rPr>
                <w:noProof/>
                <w:webHidden/>
              </w:rPr>
            </w:r>
            <w:r>
              <w:rPr>
                <w:noProof/>
                <w:webHidden/>
              </w:rPr>
              <w:fldChar w:fldCharType="separate"/>
            </w:r>
            <w:r>
              <w:rPr>
                <w:noProof/>
                <w:webHidden/>
              </w:rPr>
              <w:t>34</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76" w:history="1">
            <w:r w:rsidRPr="00DF188F">
              <w:rPr>
                <w:rStyle w:val="Lienhypertexte"/>
                <w:rFonts w:eastAsiaTheme="majorEastAsia"/>
                <w:noProof/>
              </w:rPr>
              <w:t>ARTICLE 13 – PROTECTION  DES DONNEES PERSONNELLES</w:t>
            </w:r>
            <w:r>
              <w:rPr>
                <w:noProof/>
                <w:webHidden/>
              </w:rPr>
              <w:tab/>
            </w:r>
            <w:r>
              <w:rPr>
                <w:noProof/>
                <w:webHidden/>
              </w:rPr>
              <w:fldChar w:fldCharType="begin"/>
            </w:r>
            <w:r>
              <w:rPr>
                <w:noProof/>
                <w:webHidden/>
              </w:rPr>
              <w:instrText xml:space="preserve"> PAGEREF _Toc60319576 \h </w:instrText>
            </w:r>
            <w:r>
              <w:rPr>
                <w:noProof/>
                <w:webHidden/>
              </w:rPr>
            </w:r>
            <w:r>
              <w:rPr>
                <w:noProof/>
                <w:webHidden/>
              </w:rPr>
              <w:fldChar w:fldCharType="separate"/>
            </w:r>
            <w:r>
              <w:rPr>
                <w:noProof/>
                <w:webHidden/>
              </w:rPr>
              <w:t>35</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77" w:history="1">
            <w:r w:rsidRPr="00DF188F">
              <w:rPr>
                <w:rStyle w:val="Lienhypertexte"/>
                <w:rFonts w:eastAsiaTheme="majorEastAsia"/>
                <w:noProof/>
              </w:rPr>
              <w:t>ARTICLE 14 – DEROGATIONS AU CCAG</w:t>
            </w:r>
            <w:r>
              <w:rPr>
                <w:noProof/>
                <w:webHidden/>
              </w:rPr>
              <w:tab/>
            </w:r>
            <w:r>
              <w:rPr>
                <w:noProof/>
                <w:webHidden/>
              </w:rPr>
              <w:fldChar w:fldCharType="begin"/>
            </w:r>
            <w:r>
              <w:rPr>
                <w:noProof/>
                <w:webHidden/>
              </w:rPr>
              <w:instrText xml:space="preserve"> PAGEREF _Toc60319577 \h </w:instrText>
            </w:r>
            <w:r>
              <w:rPr>
                <w:noProof/>
                <w:webHidden/>
              </w:rPr>
            </w:r>
            <w:r>
              <w:rPr>
                <w:noProof/>
                <w:webHidden/>
              </w:rPr>
              <w:fldChar w:fldCharType="separate"/>
            </w:r>
            <w:r>
              <w:rPr>
                <w:noProof/>
                <w:webHidden/>
              </w:rPr>
              <w:t>36</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78" w:history="1">
            <w:r w:rsidRPr="00DF188F">
              <w:rPr>
                <w:rStyle w:val="Lienhypertexte"/>
                <w:rFonts w:eastAsiaTheme="majorEastAsia"/>
                <w:noProof/>
              </w:rPr>
              <w:t>ANNEXE 1 AU CCAP : MODELE D’ACTE SPECIAL DE SOUS-TRAITANCE</w:t>
            </w:r>
            <w:r>
              <w:rPr>
                <w:noProof/>
                <w:webHidden/>
              </w:rPr>
              <w:tab/>
            </w:r>
            <w:r>
              <w:rPr>
                <w:noProof/>
                <w:webHidden/>
              </w:rPr>
              <w:fldChar w:fldCharType="begin"/>
            </w:r>
            <w:r>
              <w:rPr>
                <w:noProof/>
                <w:webHidden/>
              </w:rPr>
              <w:instrText xml:space="preserve"> PAGEREF _Toc60319578 \h </w:instrText>
            </w:r>
            <w:r>
              <w:rPr>
                <w:noProof/>
                <w:webHidden/>
              </w:rPr>
            </w:r>
            <w:r>
              <w:rPr>
                <w:noProof/>
                <w:webHidden/>
              </w:rPr>
              <w:fldChar w:fldCharType="separate"/>
            </w:r>
            <w:r>
              <w:rPr>
                <w:noProof/>
                <w:webHidden/>
              </w:rPr>
              <w:t>1</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79" w:history="1">
            <w:r w:rsidRPr="00DF188F">
              <w:rPr>
                <w:rStyle w:val="Lienhypertexte"/>
                <w:rFonts w:eastAsiaTheme="majorEastAsia"/>
                <w:noProof/>
              </w:rPr>
              <w:t>ANNEXE 2 AU CCAP : MODELE D’ACTE SPECIAL DE SOUS-TRAITANCE DE SECOND RANG</w:t>
            </w:r>
            <w:r>
              <w:rPr>
                <w:noProof/>
                <w:webHidden/>
              </w:rPr>
              <w:tab/>
            </w:r>
            <w:r>
              <w:rPr>
                <w:noProof/>
                <w:webHidden/>
              </w:rPr>
              <w:fldChar w:fldCharType="begin"/>
            </w:r>
            <w:r>
              <w:rPr>
                <w:noProof/>
                <w:webHidden/>
              </w:rPr>
              <w:instrText xml:space="preserve"> PAGEREF _Toc60319579 \h </w:instrText>
            </w:r>
            <w:r>
              <w:rPr>
                <w:noProof/>
                <w:webHidden/>
              </w:rPr>
            </w:r>
            <w:r>
              <w:rPr>
                <w:noProof/>
                <w:webHidden/>
              </w:rPr>
              <w:fldChar w:fldCharType="separate"/>
            </w:r>
            <w:r>
              <w:rPr>
                <w:noProof/>
                <w:webHidden/>
              </w:rPr>
              <w:t>1</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80" w:history="1">
            <w:r w:rsidRPr="00DF188F">
              <w:rPr>
                <w:rStyle w:val="Lienhypertexte"/>
                <w:rFonts w:eastAsiaTheme="majorEastAsia"/>
                <w:noProof/>
              </w:rPr>
              <w:t>ANNEXE 3 AU CCAP : EXEMPLE DE MODELE COMPLET DE DECOMPTE ET D’ETAT D’ACOMPTE</w:t>
            </w:r>
            <w:r>
              <w:rPr>
                <w:noProof/>
                <w:webHidden/>
              </w:rPr>
              <w:tab/>
            </w:r>
            <w:r>
              <w:rPr>
                <w:noProof/>
                <w:webHidden/>
              </w:rPr>
              <w:fldChar w:fldCharType="begin"/>
            </w:r>
            <w:r>
              <w:rPr>
                <w:noProof/>
                <w:webHidden/>
              </w:rPr>
              <w:instrText xml:space="preserve"> PAGEREF _Toc60319580 \h </w:instrText>
            </w:r>
            <w:r>
              <w:rPr>
                <w:noProof/>
                <w:webHidden/>
              </w:rPr>
            </w:r>
            <w:r>
              <w:rPr>
                <w:noProof/>
                <w:webHidden/>
              </w:rPr>
              <w:fldChar w:fldCharType="separate"/>
            </w:r>
            <w:r>
              <w:rPr>
                <w:noProof/>
                <w:webHidden/>
              </w:rPr>
              <w:t>1</w:t>
            </w:r>
            <w:r>
              <w:rPr>
                <w:noProof/>
                <w:webHidden/>
              </w:rPr>
              <w:fldChar w:fldCharType="end"/>
            </w:r>
          </w:hyperlink>
        </w:p>
        <w:p w:rsidR="00555941" w:rsidRDefault="00555941">
          <w:pPr>
            <w:pStyle w:val="TM1"/>
            <w:tabs>
              <w:tab w:val="right" w:leader="dot" w:pos="9062"/>
            </w:tabs>
            <w:rPr>
              <w:rFonts w:eastAsiaTheme="minorEastAsia" w:cstheme="minorBidi"/>
              <w:b w:val="0"/>
              <w:bCs w:val="0"/>
              <w:caps w:val="0"/>
              <w:noProof/>
              <w:sz w:val="22"/>
              <w:szCs w:val="22"/>
              <w:lang w:eastAsia="fr-FR"/>
            </w:rPr>
          </w:pPr>
          <w:hyperlink w:anchor="_Toc60319581" w:history="1">
            <w:r w:rsidRPr="00DF188F">
              <w:rPr>
                <w:rStyle w:val="Lienhypertexte"/>
                <w:rFonts w:eastAsiaTheme="majorEastAsia"/>
                <w:noProof/>
              </w:rPr>
              <w:t>ANNEXE 4 AU CCAP : MODELE DE CAUTION PERSONNELLE ET SOLIDAIRE A PRESENTER EN CONTREPARTIE D’UNE AVANCE</w:t>
            </w:r>
            <w:r>
              <w:rPr>
                <w:noProof/>
                <w:webHidden/>
              </w:rPr>
              <w:tab/>
            </w:r>
            <w:r>
              <w:rPr>
                <w:noProof/>
                <w:webHidden/>
              </w:rPr>
              <w:fldChar w:fldCharType="begin"/>
            </w:r>
            <w:r>
              <w:rPr>
                <w:noProof/>
                <w:webHidden/>
              </w:rPr>
              <w:instrText xml:space="preserve"> PAGEREF _Toc60319581 \h </w:instrText>
            </w:r>
            <w:r>
              <w:rPr>
                <w:noProof/>
                <w:webHidden/>
              </w:rPr>
            </w:r>
            <w:r>
              <w:rPr>
                <w:noProof/>
                <w:webHidden/>
              </w:rPr>
              <w:fldChar w:fldCharType="separate"/>
            </w:r>
            <w:r>
              <w:rPr>
                <w:noProof/>
                <w:webHidden/>
              </w:rPr>
              <w:t>1</w:t>
            </w:r>
            <w:r>
              <w:rPr>
                <w:noProof/>
                <w:webHidden/>
              </w:rPr>
              <w:fldChar w:fldCharType="end"/>
            </w:r>
          </w:hyperlink>
        </w:p>
        <w:p w:rsidR="002565F1" w:rsidRDefault="002565F1">
          <w:r>
            <w:fldChar w:fldCharType="end"/>
          </w:r>
        </w:p>
      </w:sdtContent>
    </w:sdt>
    <w:p w:rsidR="005F11D2" w:rsidRDefault="005F11D2" w:rsidP="005F11D2">
      <w:pPr>
        <w:spacing w:line="245" w:lineRule="auto"/>
        <w:jc w:val="left"/>
        <w:rPr>
          <w:b/>
          <w:sz w:val="21"/>
          <w:szCs w:val="21"/>
        </w:rPr>
      </w:pPr>
    </w:p>
    <w:p w:rsidR="003F5FB4" w:rsidRDefault="003F5FB4" w:rsidP="00E76F6F">
      <w:r>
        <w:br w:type="page"/>
      </w:r>
    </w:p>
    <w:p w:rsidR="003F5FB4" w:rsidRPr="00387586" w:rsidRDefault="003629D5" w:rsidP="005F43A6">
      <w:pPr>
        <w:pStyle w:val="0ENTETE"/>
      </w:pPr>
      <w:bookmarkStart w:id="1" w:name="_Toc60319465"/>
      <w:r>
        <w:t xml:space="preserve">ARTICLE </w:t>
      </w:r>
      <w:r w:rsidR="00A83939">
        <w:t>1</w:t>
      </w:r>
      <w:r w:rsidR="003F5FB4" w:rsidRPr="00387586">
        <w:t xml:space="preserve"> – OBJET </w:t>
      </w:r>
      <w:r w:rsidR="00A83939">
        <w:t xml:space="preserve">ET CARACTERISTIQUES </w:t>
      </w:r>
      <w:r w:rsidR="003F5FB4" w:rsidRPr="00387586">
        <w:t>DU MARCHÉ</w:t>
      </w:r>
      <w:bookmarkEnd w:id="1"/>
    </w:p>
    <w:p w:rsidR="009C52F4" w:rsidRPr="00387586" w:rsidRDefault="00A83939" w:rsidP="005F43A6">
      <w:pPr>
        <w:pStyle w:val="1NIV1"/>
      </w:pPr>
      <w:bookmarkStart w:id="2" w:name="_Toc60319466"/>
      <w:r>
        <w:t>1.</w:t>
      </w:r>
      <w:r w:rsidR="002B30F7">
        <w:t>1</w:t>
      </w:r>
      <w:r w:rsidR="009C52F4" w:rsidRPr="00387586">
        <w:t xml:space="preserve"> – </w:t>
      </w:r>
      <w:r w:rsidR="00852C8F" w:rsidRPr="00387586">
        <w:t>OBJET DU MARCHE</w:t>
      </w:r>
      <w:bookmarkEnd w:id="2"/>
    </w:p>
    <w:p w:rsidR="003F5FB4" w:rsidRDefault="003F5FB4" w:rsidP="00E76F6F">
      <w:r w:rsidRPr="003F5FB4">
        <w:t>Le présent marché a pour objet </w:t>
      </w:r>
      <w:proofErr w:type="gramStart"/>
      <w:r w:rsidRPr="003F5FB4">
        <w:t>:</w:t>
      </w:r>
      <w:r w:rsidR="00962CFC">
        <w:t xml:space="preserve">  …</w:t>
      </w:r>
      <w:proofErr w:type="gramEnd"/>
      <w:r w:rsidR="00962CFC">
        <w:t>………….</w:t>
      </w:r>
      <w:r w:rsidR="00E76F6F">
        <w:t>…………….</w:t>
      </w:r>
    </w:p>
    <w:p w:rsidR="009C52F4" w:rsidRDefault="009C52F4" w:rsidP="005F43A6">
      <w:pPr>
        <w:pStyle w:val="1NIV1"/>
      </w:pPr>
      <w:bookmarkStart w:id="3" w:name="_Toc60319467"/>
      <w:r>
        <w:t>1.</w:t>
      </w:r>
      <w:r w:rsidR="000F28AE">
        <w:t>2</w:t>
      </w:r>
      <w:r>
        <w:t xml:space="preserve"> </w:t>
      </w:r>
      <w:r w:rsidR="000F28AE">
        <w:t>–</w:t>
      </w:r>
      <w:r>
        <w:t xml:space="preserve"> </w:t>
      </w:r>
      <w:r w:rsidR="00852C8F">
        <w:t>LOTS</w:t>
      </w:r>
      <w:bookmarkEnd w:id="3"/>
    </w:p>
    <w:p w:rsidR="008E1421" w:rsidRPr="00E76F6F" w:rsidRDefault="00555941" w:rsidP="00E76F6F">
      <w:pPr>
        <w:pStyle w:val="NormalX"/>
      </w:pPr>
      <w:sdt>
        <w:sdtPr>
          <w:id w:val="-1601790493"/>
          <w14:checkbox>
            <w14:checked w14:val="0"/>
            <w14:checkedState w14:val="2612" w14:font="MS Gothic"/>
            <w14:uncheckedState w14:val="2610" w14:font="MS Gothic"/>
          </w14:checkbox>
        </w:sdtPr>
        <w:sdtEndPr/>
        <w:sdtContent>
          <w:r w:rsidR="008E1421" w:rsidRPr="00E76F6F">
            <w:rPr>
              <w:rFonts w:eastAsia="MS Gothic" w:hint="eastAsia"/>
            </w:rPr>
            <w:t>☐</w:t>
          </w:r>
        </w:sdtContent>
      </w:sdt>
      <w:r w:rsidR="008E1421" w:rsidRPr="00E76F6F">
        <w:t xml:space="preserve"> Sans objet.</w:t>
      </w:r>
    </w:p>
    <w:p w:rsidR="009C52F4" w:rsidRDefault="00555941" w:rsidP="00E76F6F">
      <w:pPr>
        <w:pStyle w:val="NormalX"/>
      </w:pPr>
      <w:sdt>
        <w:sdtPr>
          <w:id w:val="1533527560"/>
          <w14:checkbox>
            <w14:checked w14:val="0"/>
            <w14:checkedState w14:val="2612" w14:font="MS Gothic"/>
            <w14:uncheckedState w14:val="2610" w14:font="MS Gothic"/>
          </w14:checkbox>
        </w:sdtPr>
        <w:sdtEndPr/>
        <w:sdtContent>
          <w:r w:rsidR="008E1421">
            <w:rPr>
              <w:rFonts w:ascii="MS Gothic" w:eastAsia="MS Gothic" w:hAnsi="MS Gothic" w:hint="eastAsia"/>
            </w:rPr>
            <w:t>☐</w:t>
          </w:r>
        </w:sdtContent>
      </w:sdt>
      <w:r w:rsidR="008E1421">
        <w:t xml:space="preserve"> </w:t>
      </w:r>
      <w:r w:rsidR="009C52F4">
        <w:t xml:space="preserve">Les </w:t>
      </w:r>
      <w:r w:rsidR="009C52F4" w:rsidRPr="00E76F6F">
        <w:t>prestations</w:t>
      </w:r>
      <w:r w:rsidR="009C52F4">
        <w:t xml:space="preserve"> objet du marché sont scindé</w:t>
      </w:r>
      <w:r w:rsidR="000F28AE">
        <w:t>e</w:t>
      </w:r>
      <w:r w:rsidR="009C52F4">
        <w:t xml:space="preserve">s en plusieurs lots, </w:t>
      </w:r>
      <w:r w:rsidR="000F28AE">
        <w:t>précisés</w:t>
      </w:r>
      <w:r w:rsidR="009C52F4">
        <w:t xml:space="preserve"> dans la liste suivante :</w:t>
      </w:r>
    </w:p>
    <w:p w:rsidR="009C52F4" w:rsidRPr="00E76F6F" w:rsidRDefault="000F28AE" w:rsidP="00E76F6F">
      <w:pPr>
        <w:pStyle w:val="Listenormale"/>
      </w:pPr>
      <w:r w:rsidRPr="00E76F6F">
        <w:t xml:space="preserve">Lot </w:t>
      </w:r>
      <w:r w:rsidR="00BB4A26" w:rsidRPr="00E76F6F">
        <w:t>n°</w:t>
      </w:r>
      <w:r w:rsidRPr="00E76F6F">
        <w:t>… : ….</w:t>
      </w:r>
    </w:p>
    <w:p w:rsidR="00936478" w:rsidRDefault="00936478" w:rsidP="00E76F6F">
      <w:pPr>
        <w:pStyle w:val="Listenormale"/>
      </w:pPr>
      <w:r>
        <w:t>Lot</w:t>
      </w:r>
      <w:r w:rsidR="00BB4A26">
        <w:t xml:space="preserve"> n°</w:t>
      </w:r>
      <w:r>
        <w:t xml:space="preserve"> … : ….</w:t>
      </w:r>
    </w:p>
    <w:p w:rsidR="002B30F7" w:rsidRDefault="002B30F7" w:rsidP="00E76F6F">
      <w:pPr>
        <w:pStyle w:val="Listenormale"/>
      </w:pPr>
      <w:r>
        <w:t>Lot n° … : ….</w:t>
      </w:r>
    </w:p>
    <w:p w:rsidR="002B30F7" w:rsidRDefault="002B30F7" w:rsidP="00E76F6F">
      <w:pPr>
        <w:pStyle w:val="Listenormale"/>
      </w:pPr>
      <w:r>
        <w:t>Lot n° … : ….</w:t>
      </w:r>
    </w:p>
    <w:p w:rsidR="000F28AE" w:rsidRDefault="000F28AE" w:rsidP="00E76F6F">
      <w:r>
        <w:t xml:space="preserve">Le </w:t>
      </w:r>
      <w:r w:rsidRPr="00E76F6F">
        <w:t>présent</w:t>
      </w:r>
      <w:r>
        <w:t xml:space="preserve"> marché ne concerne que le ou les lots</w:t>
      </w:r>
      <w:r w:rsidR="00BB4A26">
        <w:t xml:space="preserve"> </w:t>
      </w:r>
      <w:r w:rsidR="00936478">
        <w:t>attribués au titulaire du marché</w:t>
      </w:r>
      <w:r w:rsidR="001E2DEC">
        <w:t>,</w:t>
      </w:r>
      <w:r w:rsidR="00BB4A26">
        <w:t xml:space="preserve"> tel que </w:t>
      </w:r>
      <w:r w:rsidR="001E2DEC">
        <w:t xml:space="preserve">le </w:t>
      </w:r>
      <w:r w:rsidR="00BB4A26">
        <w:t>précis</w:t>
      </w:r>
      <w:r w:rsidR="001E2DEC">
        <w:t>e</w:t>
      </w:r>
      <w:r w:rsidR="00BB4A26">
        <w:t xml:space="preserve"> l’acheteur public à l’endroit de sa signature</w:t>
      </w:r>
      <w:r w:rsidR="00BB4A26" w:rsidRPr="00BB4A26">
        <w:t xml:space="preserve"> </w:t>
      </w:r>
      <w:r w:rsidR="001E2DEC">
        <w:t xml:space="preserve">pour acceptation de l’offre </w:t>
      </w:r>
      <w:r w:rsidR="00BB4A26">
        <w:t>à la fin de l’acte d’engagement</w:t>
      </w:r>
      <w:r w:rsidR="00936478">
        <w:t>.</w:t>
      </w:r>
      <w:r>
        <w:t xml:space="preserve"> </w:t>
      </w:r>
    </w:p>
    <w:p w:rsidR="00E9340D" w:rsidRDefault="00E9340D" w:rsidP="00E9340D">
      <w:pPr>
        <w:pStyle w:val="1NIV1"/>
      </w:pPr>
      <w:bookmarkStart w:id="4" w:name="_Toc56387263"/>
      <w:bookmarkStart w:id="5" w:name="_Toc60319468"/>
      <w:r>
        <w:t>1.3 – TRANCHES</w:t>
      </w:r>
      <w:bookmarkEnd w:id="4"/>
      <w:bookmarkEnd w:id="5"/>
    </w:p>
    <w:p w:rsidR="00E9340D" w:rsidRDefault="00555941" w:rsidP="00E9340D">
      <w:pPr>
        <w:pStyle w:val="NormalX"/>
      </w:pPr>
      <w:sdt>
        <w:sdtPr>
          <w:id w:val="-1648126014"/>
          <w14:checkbox>
            <w14:checked w14:val="0"/>
            <w14:checkedState w14:val="2612" w14:font="MS Gothic"/>
            <w14:uncheckedState w14:val="2610" w14:font="MS Gothic"/>
          </w14:checkbox>
        </w:sdtPr>
        <w:sdtEndPr/>
        <w:sdtContent>
          <w:r w:rsidR="00E9340D">
            <w:rPr>
              <w:rFonts w:ascii="MS Gothic" w:eastAsia="MS Gothic" w:hAnsi="MS Gothic" w:hint="eastAsia"/>
            </w:rPr>
            <w:t>☐</w:t>
          </w:r>
        </w:sdtContent>
      </w:sdt>
      <w:r w:rsidR="00E9340D">
        <w:t xml:space="preserve"> Sans objet.</w:t>
      </w:r>
    </w:p>
    <w:p w:rsidR="00E9340D" w:rsidRDefault="00555941" w:rsidP="00E9340D">
      <w:pPr>
        <w:pStyle w:val="NormalX"/>
      </w:pPr>
      <w:sdt>
        <w:sdtPr>
          <w:id w:val="1505550324"/>
          <w14:checkbox>
            <w14:checked w14:val="0"/>
            <w14:checkedState w14:val="2612" w14:font="MS Gothic"/>
            <w14:uncheckedState w14:val="2610" w14:font="MS Gothic"/>
          </w14:checkbox>
        </w:sdtPr>
        <w:sdtEndPr/>
        <w:sdtContent>
          <w:r w:rsidR="00E9340D">
            <w:rPr>
              <w:rFonts w:ascii="MS Gothic" w:eastAsia="MS Gothic" w:hAnsi="MS Gothic" w:hint="eastAsia"/>
            </w:rPr>
            <w:t>☐</w:t>
          </w:r>
        </w:sdtContent>
      </w:sdt>
      <w:r w:rsidR="00E9340D">
        <w:t xml:space="preserve"> Les prestations objet du marché sont scindées en plusieurs tranches, précisées comme suit :</w:t>
      </w:r>
    </w:p>
    <w:p w:rsidR="00E9340D" w:rsidRDefault="00E9340D" w:rsidP="00E9340D">
      <w:r>
        <w:t>Tranche ferme :</w:t>
      </w:r>
    </w:p>
    <w:p w:rsidR="00E9340D" w:rsidRPr="00FF7663" w:rsidRDefault="00E9340D" w:rsidP="00E9340D">
      <w:pPr>
        <w:pStyle w:val="Listenormale"/>
      </w:pPr>
      <w:r>
        <w:t>………….</w:t>
      </w:r>
    </w:p>
    <w:p w:rsidR="00E9340D" w:rsidRDefault="00E9340D" w:rsidP="00E9340D">
      <w:r>
        <w:t>Tranche(s) conditionnelle(s) :</w:t>
      </w:r>
    </w:p>
    <w:p w:rsidR="00E9340D" w:rsidRPr="00E76F6F" w:rsidRDefault="00E9340D" w:rsidP="00E9340D">
      <w:pPr>
        <w:pStyle w:val="Listenum"/>
      </w:pPr>
      <w:r w:rsidRPr="00E76F6F">
        <w:t>………….</w:t>
      </w:r>
    </w:p>
    <w:p w:rsidR="00E9340D" w:rsidRPr="00E76F6F" w:rsidRDefault="00E9340D" w:rsidP="00E9340D">
      <w:pPr>
        <w:pStyle w:val="Listenum"/>
      </w:pPr>
      <w:r w:rsidRPr="00E76F6F">
        <w:t>………….</w:t>
      </w:r>
    </w:p>
    <w:p w:rsidR="00E9340D" w:rsidRDefault="00E9340D" w:rsidP="00E9340D">
      <w:r>
        <w:t>La notification de la tranche ferme est faite selon les modalités de commande des prestations prévues à l’article 4 du présent CCAP.</w:t>
      </w:r>
    </w:p>
    <w:p w:rsidR="00E9340D" w:rsidRDefault="00E9340D" w:rsidP="00E9340D">
      <w:r>
        <w:t>La notification d’une tranche conditionnelle est faite par ordre de service signé par la personne responsable du marché.</w:t>
      </w:r>
    </w:p>
    <w:p w:rsidR="00E9340D" w:rsidRDefault="00E9340D" w:rsidP="00E9340D">
      <w:r>
        <w:t>La notification d’une tranche conditionnelle doit intervenir dans le délai de ……. semaines à compter de la notification de la tranche ferme.</w:t>
      </w:r>
    </w:p>
    <w:p w:rsidR="00E9340D" w:rsidRDefault="00E9340D" w:rsidP="00E9340D">
      <w:r>
        <w:t>Aucune indemnité d’attente ni de dédit n’est due au titre du présent marché.</w:t>
      </w:r>
    </w:p>
    <w:p w:rsidR="00E9340D" w:rsidRDefault="00150D21" w:rsidP="00E9340D">
      <w:r>
        <w:t xml:space="preserve">Dans l’ensemble des clauses relatives à l’exécution du marché, </w:t>
      </w:r>
      <w:r w:rsidR="00E9340D">
        <w:t>l’expression « montant du marché » inclut, entre autres, le montant des tranches ferme et conditionnelle(s) affermies.</w:t>
      </w:r>
    </w:p>
    <w:p w:rsidR="00E9340D" w:rsidRDefault="00555941" w:rsidP="00E9340D">
      <w:pPr>
        <w:pStyle w:val="NormalX"/>
      </w:pPr>
      <w:sdt>
        <w:sdtPr>
          <w:id w:val="1249854775"/>
          <w14:checkbox>
            <w14:checked w14:val="0"/>
            <w14:checkedState w14:val="2612" w14:font="MS Gothic"/>
            <w14:uncheckedState w14:val="2610" w14:font="MS Gothic"/>
          </w14:checkbox>
        </w:sdtPr>
        <w:sdtEndPr/>
        <w:sdtContent>
          <w:r w:rsidR="00E9340D">
            <w:rPr>
              <w:rFonts w:ascii="MS Gothic" w:eastAsia="MS Gothic" w:hAnsi="MS Gothic" w:hint="eastAsia"/>
            </w:rPr>
            <w:t>☐</w:t>
          </w:r>
        </w:sdtContent>
      </w:sdt>
      <w:r w:rsidR="00E9340D">
        <w:t xml:space="preserve"> Si la notification d’une tranche conditionnelle est faite au-delà du délai limite ci-dessus, le titulaire a le droit :</w:t>
      </w:r>
    </w:p>
    <w:p w:rsidR="00E9340D" w:rsidRDefault="00E9340D" w:rsidP="00E9340D">
      <w:pPr>
        <w:pStyle w:val="Listenormale"/>
      </w:pPr>
      <w:r>
        <w:t>soit de refuser l’exécution de cette tranche conditionnelle ;</w:t>
      </w:r>
    </w:p>
    <w:p w:rsidR="00E9340D" w:rsidRDefault="00E9340D" w:rsidP="00E9340D">
      <w:pPr>
        <w:pStyle w:val="Listenormale"/>
      </w:pPr>
      <w:r>
        <w:t>soit de l’exécuter et d’obtenir une indemnisation pour des frais réels justifiés à incorporer par avenant au marché.</w:t>
      </w:r>
    </w:p>
    <w:p w:rsidR="00E9340D" w:rsidRDefault="00E9340D" w:rsidP="00E9340D">
      <w:r>
        <w:t xml:space="preserve">Ces droits ne sont ouverts au titulaire qu’à condition qu’il notifie le refus ou la demande d’indemnisation avec justificatifs dans le délai de …… semaines après notification de la tranche conditionnelle. </w:t>
      </w:r>
    </w:p>
    <w:p w:rsidR="00E9340D" w:rsidRDefault="00E9340D" w:rsidP="00E9340D">
      <w:r>
        <w:t>Au-delà de ce délai, le titulaire ne peut plus refuser d’exécuter ni demander d’indemnisation pour cause de notification tardive.</w:t>
      </w:r>
    </w:p>
    <w:p w:rsidR="00E9340D" w:rsidRDefault="00E9340D" w:rsidP="00E9340D">
      <w:pPr>
        <w:pStyle w:val="1NIV1"/>
      </w:pPr>
      <w:bookmarkStart w:id="6" w:name="_Toc56387490"/>
      <w:bookmarkStart w:id="7" w:name="_Toc56387264"/>
      <w:bookmarkStart w:id="8" w:name="_Toc60319469"/>
      <w:r>
        <w:t>1.4 –</w:t>
      </w:r>
      <w:bookmarkEnd w:id="6"/>
      <w:r>
        <w:t>OPTIONS</w:t>
      </w:r>
      <w:bookmarkEnd w:id="8"/>
      <w:r>
        <w:t xml:space="preserve"> </w:t>
      </w:r>
    </w:p>
    <w:p w:rsidR="00E9340D" w:rsidRDefault="00555941" w:rsidP="00E9340D">
      <w:pPr>
        <w:pStyle w:val="NormalX"/>
      </w:pPr>
      <w:sdt>
        <w:sdtPr>
          <w:id w:val="-71516457"/>
          <w14:checkbox>
            <w14:checked w14:val="0"/>
            <w14:checkedState w14:val="2612" w14:font="MS Gothic"/>
            <w14:uncheckedState w14:val="2610" w14:font="MS Gothic"/>
          </w14:checkbox>
        </w:sdtPr>
        <w:sdtEndPr/>
        <w:sdtContent>
          <w:r w:rsidR="00E9340D">
            <w:rPr>
              <w:rFonts w:ascii="MS Gothic" w:eastAsia="MS Gothic" w:hAnsi="MS Gothic" w:hint="eastAsia"/>
            </w:rPr>
            <w:t>☐</w:t>
          </w:r>
        </w:sdtContent>
      </w:sdt>
      <w:r w:rsidR="00E9340D">
        <w:t xml:space="preserve"> Sans objet.</w:t>
      </w:r>
    </w:p>
    <w:p w:rsidR="00E9340D" w:rsidRDefault="00555941" w:rsidP="00E9340D">
      <w:pPr>
        <w:pStyle w:val="NormalX"/>
      </w:pPr>
      <w:sdt>
        <w:sdtPr>
          <w:id w:val="-1425414104"/>
          <w14:checkbox>
            <w14:checked w14:val="0"/>
            <w14:checkedState w14:val="2612" w14:font="MS Gothic"/>
            <w14:uncheckedState w14:val="2610" w14:font="MS Gothic"/>
          </w14:checkbox>
        </w:sdtPr>
        <w:sdtEndPr/>
        <w:sdtContent>
          <w:r w:rsidR="00E9340D">
            <w:rPr>
              <w:rFonts w:ascii="MS Gothic" w:eastAsia="MS Gothic" w:hAnsi="MS Gothic" w:hint="eastAsia"/>
            </w:rPr>
            <w:t>☐</w:t>
          </w:r>
        </w:sdtContent>
      </w:sdt>
      <w:r w:rsidR="00E9340D">
        <w:t xml:space="preserve"> Les options présentées comme telles dans le marché qui n’auraient pas été affermies lors de la passation du marché pourront être commandées par ordre de service en cours d’exécution de marché  sans nécessité de passation d’un avenant.</w:t>
      </w:r>
    </w:p>
    <w:p w:rsidR="00E9340D" w:rsidRDefault="00150D21" w:rsidP="00E9340D">
      <w:r>
        <w:t xml:space="preserve">Dans l’ensemble des clauses relatives à l’exécution du marché, </w:t>
      </w:r>
      <w:r w:rsidR="00E9340D">
        <w:t>l’expression « montant du marché » inclut, entre autres, le montant des options affermies et commandées.</w:t>
      </w:r>
    </w:p>
    <w:p w:rsidR="00E9340D" w:rsidRDefault="00E9340D" w:rsidP="00E9340D">
      <w:pPr>
        <w:pStyle w:val="1NIV1"/>
      </w:pPr>
      <w:bookmarkStart w:id="9" w:name="_Toc60319470"/>
      <w:r>
        <w:t>1.5 – FORME PARTICULIERE DU MARCHE</w:t>
      </w:r>
      <w:bookmarkEnd w:id="7"/>
      <w:bookmarkEnd w:id="9"/>
    </w:p>
    <w:p w:rsidR="00E9340D" w:rsidRDefault="00E9340D" w:rsidP="00E9340D">
      <w:r>
        <w:t>Le présent marché est un marché « standard », c’est-à-dire à quantités définies et prix global défini.</w:t>
      </w:r>
    </w:p>
    <w:p w:rsidR="004121AB" w:rsidRDefault="004121AB" w:rsidP="00E76F6F">
      <w:r>
        <w:br w:type="page"/>
      </w:r>
    </w:p>
    <w:p w:rsidR="003F5FB4" w:rsidRDefault="003629D5" w:rsidP="005F43A6">
      <w:pPr>
        <w:pStyle w:val="0ENTETE"/>
      </w:pPr>
      <w:bookmarkStart w:id="10" w:name="_Toc60319471"/>
      <w:r>
        <w:t xml:space="preserve">ARTICLE </w:t>
      </w:r>
      <w:r w:rsidR="003F5FB4">
        <w:t>2 – PARTIES PRENANTES</w:t>
      </w:r>
      <w:bookmarkEnd w:id="10"/>
    </w:p>
    <w:p w:rsidR="003F5FB4" w:rsidRPr="00F346D2" w:rsidRDefault="003F5FB4" w:rsidP="005F43A6">
      <w:pPr>
        <w:pStyle w:val="1NIV1"/>
      </w:pPr>
      <w:bookmarkStart w:id="11" w:name="_Toc60319472"/>
      <w:r w:rsidRPr="00F346D2">
        <w:t xml:space="preserve">2.1 – </w:t>
      </w:r>
      <w:r w:rsidR="00852C8F" w:rsidRPr="00F346D2">
        <w:t>ACHETEUR PUBLIC</w:t>
      </w:r>
      <w:bookmarkEnd w:id="11"/>
    </w:p>
    <w:p w:rsidR="003F5FB4" w:rsidRPr="00F346D2" w:rsidRDefault="003F5FB4" w:rsidP="00E76F6F">
      <w:pPr>
        <w:pStyle w:val="2NIV2"/>
      </w:pPr>
      <w:bookmarkStart w:id="12" w:name="_Toc60319473"/>
      <w:r w:rsidRPr="00F346D2">
        <w:t>2.1.1 – Acheteur public</w:t>
      </w:r>
      <w:bookmarkEnd w:id="12"/>
    </w:p>
    <w:p w:rsidR="008B1AA1" w:rsidRDefault="008B1AA1" w:rsidP="00E76F6F">
      <w:r w:rsidRPr="00F158F3">
        <w:t xml:space="preserve">L’acheteur public </w:t>
      </w:r>
      <w:r w:rsidR="00266995">
        <w:t xml:space="preserve">cité à l’acte d’engagement </w:t>
      </w:r>
      <w:r w:rsidRPr="00F158F3">
        <w:t xml:space="preserve">est l’organisme qui </w:t>
      </w:r>
      <w:r w:rsidR="00F346D2" w:rsidRPr="00F158F3">
        <w:t>passe</w:t>
      </w:r>
      <w:r w:rsidRPr="00F158F3">
        <w:t xml:space="preserve"> le marché</w:t>
      </w:r>
      <w:r w:rsidR="00F346D2" w:rsidRPr="00F158F3">
        <w:t xml:space="preserve"> avec le titulaire pour satisfaire ses</w:t>
      </w:r>
      <w:r w:rsidR="00F346D2">
        <w:t xml:space="preserve"> besoins</w:t>
      </w:r>
      <w:r>
        <w:t>.</w:t>
      </w:r>
    </w:p>
    <w:p w:rsidR="002B30F7" w:rsidRPr="003F5FB4" w:rsidRDefault="002B30F7" w:rsidP="002772C4">
      <w:r>
        <w:t>S’agissant de travaux, l’acheteur public est aussi appelé « maître d’ouvrage » au titre du marché.</w:t>
      </w:r>
    </w:p>
    <w:p w:rsidR="003F5FB4" w:rsidRDefault="003F5FB4" w:rsidP="00E76F6F">
      <w:pPr>
        <w:pStyle w:val="2NIV2"/>
      </w:pPr>
      <w:bookmarkStart w:id="13" w:name="_Toc60319474"/>
      <w:r>
        <w:t xml:space="preserve">2.1.2 – Directeur </w:t>
      </w:r>
      <w:r w:rsidR="008D4D8C">
        <w:t>du financement</w:t>
      </w:r>
      <w:bookmarkEnd w:id="13"/>
    </w:p>
    <w:p w:rsidR="008E059F" w:rsidRDefault="008E059F" w:rsidP="00266995">
      <w:r>
        <w:t>Le directeur du financement est le gestionnaire des crédits budgétaires afférents à ce marché.</w:t>
      </w:r>
    </w:p>
    <w:p w:rsidR="008E059F" w:rsidRDefault="008E059F" w:rsidP="008E059F">
      <w:r>
        <w:t xml:space="preserve">Il </w:t>
      </w:r>
      <w:r w:rsidR="008A6315">
        <w:t xml:space="preserve">est cité à l’acte d’engagement comme la personne chargée de </w:t>
      </w:r>
      <w:r>
        <w:t>délivre</w:t>
      </w:r>
      <w:r w:rsidR="008A6315">
        <w:t>r</w:t>
      </w:r>
      <w:r>
        <w:t xml:space="preserve"> les renseignements prévus à l’article 101 de la délibération n° 424 du 20 mars 2019 portant réglementation des marchés publics.</w:t>
      </w:r>
    </w:p>
    <w:p w:rsidR="008E059F" w:rsidRPr="003F5FB4" w:rsidRDefault="00555941" w:rsidP="00FD76B5">
      <w:pPr>
        <w:pStyle w:val="NormalX"/>
      </w:pPr>
      <w:sdt>
        <w:sdtPr>
          <w:id w:val="-2025936145"/>
          <w14:checkbox>
            <w14:checked w14:val="0"/>
            <w14:checkedState w14:val="2612" w14:font="MS Gothic"/>
            <w14:uncheckedState w14:val="2610" w14:font="MS Gothic"/>
          </w14:checkbox>
        </w:sdtPr>
        <w:sdtEndPr/>
        <w:sdtContent>
          <w:r w:rsidR="00FD76B5" w:rsidRPr="004831C4">
            <w:rPr>
              <w:rFonts w:ascii="MS Gothic" w:eastAsia="MS Gothic" w:hAnsi="MS Gothic" w:hint="eastAsia"/>
            </w:rPr>
            <w:t>☐</w:t>
          </w:r>
        </w:sdtContent>
      </w:sdt>
      <w:r w:rsidR="00FD76B5">
        <w:t xml:space="preserve"> </w:t>
      </w:r>
      <w:r w:rsidR="008E059F">
        <w:t>S’agissant de travaux d’investissement, le directeur du financement est aussi appelé « directeur d’investissement ».</w:t>
      </w:r>
    </w:p>
    <w:p w:rsidR="003F5FB4" w:rsidRDefault="003F5FB4" w:rsidP="00E76F6F">
      <w:pPr>
        <w:pStyle w:val="2NIV2"/>
      </w:pPr>
      <w:bookmarkStart w:id="14" w:name="_Toc60319475"/>
      <w:r>
        <w:t>2.1.3 – Personne responsable du marché</w:t>
      </w:r>
      <w:r w:rsidR="00311F7C">
        <w:t>, référent du marché</w:t>
      </w:r>
      <w:bookmarkEnd w:id="14"/>
    </w:p>
    <w:p w:rsidR="00F241C4" w:rsidRDefault="003F5FB4" w:rsidP="00E76F6F">
      <w:r>
        <w:t>La personne responsable du marché</w:t>
      </w:r>
      <w:r w:rsidR="008A6315">
        <w:t>, citée à l’acte d’engagement,</w:t>
      </w:r>
      <w:r>
        <w:t xml:space="preserve"> </w:t>
      </w:r>
      <w:r w:rsidR="008A6315">
        <w:t>reçoit délégation du représentant de</w:t>
      </w:r>
      <w:r>
        <w:t xml:space="preserve"> l’acheteur public pour l’exécution du marché</w:t>
      </w:r>
      <w:r w:rsidR="008B1AA1">
        <w:t>.</w:t>
      </w:r>
    </w:p>
    <w:p w:rsidR="008B1AA1" w:rsidRDefault="00311F7C" w:rsidP="00E76F6F">
      <w:r>
        <w:t>Elle</w:t>
      </w:r>
      <w:r w:rsidR="00F241C4">
        <w:t xml:space="preserve"> signe les commandes, décisions, ordres de service et autres communications à destination du titulaire.</w:t>
      </w:r>
    </w:p>
    <w:p w:rsidR="008A6315" w:rsidRDefault="008A6315" w:rsidP="008A6315">
      <w:r>
        <w:t>La personne responsable du marché peut désigner par écrit un « référent du marché » qui le représente pour l’exécution du présent marché.</w:t>
      </w:r>
    </w:p>
    <w:p w:rsidR="008A6315" w:rsidRPr="003F5FB4" w:rsidRDefault="008A6315" w:rsidP="008A6315">
      <w:r>
        <w:t>La personne responsable du marché peut modifier par écrit la désignation du « référent du marché » pendant l’exécution du marché.</w:t>
      </w:r>
    </w:p>
    <w:p w:rsidR="00F346D2" w:rsidRDefault="00F346D2" w:rsidP="00E76F6F">
      <w:pPr>
        <w:pStyle w:val="2NIV2"/>
      </w:pPr>
      <w:bookmarkStart w:id="15" w:name="_Toc60319476"/>
      <w:r>
        <w:t>2.1.4 – Référent interne</w:t>
      </w:r>
      <w:bookmarkEnd w:id="15"/>
    </w:p>
    <w:p w:rsidR="008A6315" w:rsidRDefault="008A6315" w:rsidP="00266995">
      <w:r>
        <w:t xml:space="preserve">La personne responsable du marché peut désigner par écrit un « référent interne » </w:t>
      </w:r>
      <w:r w:rsidR="00266995">
        <w:t xml:space="preserve">sur site </w:t>
      </w:r>
      <w:r>
        <w:t xml:space="preserve">qui est sollicité pour signer les bons </w:t>
      </w:r>
      <w:r w:rsidR="00266995">
        <w:t>d’intervention, de livraison</w:t>
      </w:r>
      <w:r>
        <w:t>, assiste</w:t>
      </w:r>
      <w:r w:rsidR="00266995">
        <w:t>r</w:t>
      </w:r>
      <w:r>
        <w:t xml:space="preserve"> à la réception et signe</w:t>
      </w:r>
      <w:r w:rsidR="00266995">
        <w:t>r</w:t>
      </w:r>
      <w:r>
        <w:t xml:space="preserve"> les procès-verbaux de toute nature.</w:t>
      </w:r>
    </w:p>
    <w:p w:rsidR="008A6315" w:rsidRPr="003F5FB4" w:rsidRDefault="008A6315" w:rsidP="008A6315">
      <w:r>
        <w:t>La personne responsable du marché peut modifier par écrit la désignation du « référent interne » pendant l’exécution du marché.</w:t>
      </w:r>
    </w:p>
    <w:p w:rsidR="008B1AA1" w:rsidRDefault="00F346D2" w:rsidP="005F43A6">
      <w:pPr>
        <w:pStyle w:val="1NIV1"/>
      </w:pPr>
      <w:bookmarkStart w:id="16" w:name="_Toc60319477"/>
      <w:r>
        <w:t xml:space="preserve">2.2 – </w:t>
      </w:r>
      <w:r w:rsidR="00852C8F">
        <w:t>TITULAIRE</w:t>
      </w:r>
      <w:bookmarkEnd w:id="16"/>
    </w:p>
    <w:p w:rsidR="00696509" w:rsidRDefault="00696509" w:rsidP="00E76F6F">
      <w:pPr>
        <w:pStyle w:val="2NIV2"/>
      </w:pPr>
      <w:bookmarkStart w:id="17" w:name="_Toc60319478"/>
      <w:r>
        <w:t>2.2.1 – Considérations générales</w:t>
      </w:r>
      <w:bookmarkEnd w:id="17"/>
    </w:p>
    <w:p w:rsidR="00F346D2" w:rsidRDefault="00F346D2" w:rsidP="00E76F6F">
      <w:r>
        <w:t>Le titulaire est l’opérateur économique avec qui l’acheteur public passe le marché. Il est le responsable de l’exécution du marché.</w:t>
      </w:r>
    </w:p>
    <w:p w:rsidR="00311F7C" w:rsidRDefault="00311F7C" w:rsidP="00E76F6F">
      <w:r w:rsidRPr="0008690E">
        <w:t>Il se tient en capacité de délivrer l’ensemble des prestations, soit par lui-même, soit par des sous-traitants sous sa responsabilité.</w:t>
      </w:r>
    </w:p>
    <w:p w:rsidR="00311F7C" w:rsidRDefault="00311F7C" w:rsidP="00E76F6F">
      <w:r w:rsidRPr="0008690E">
        <w:t>Pour chaque activité, il doit être titulaire des éventuels agréments et autorisations délivrés par les autorités dans le domaine considéré.</w:t>
      </w:r>
    </w:p>
    <w:p w:rsidR="00311F7C" w:rsidRDefault="00311F7C" w:rsidP="00E76F6F">
      <w:r w:rsidRPr="0008690E">
        <w:t xml:space="preserve">Le titulaire du présent </w:t>
      </w:r>
      <w:r>
        <w:t>marché</w:t>
      </w:r>
      <w:r w:rsidRPr="0008690E">
        <w:t xml:space="preserve"> se reconnaît être tenu au secret professionnel et à l’obligation de discrétion pour tout ce qui concerne les faits, informations, études et décisions dont il aura connaissance au cours de l’exécution du </w:t>
      </w:r>
      <w:r>
        <w:t>marché</w:t>
      </w:r>
      <w:r w:rsidRPr="0008690E">
        <w:t>.</w:t>
      </w:r>
    </w:p>
    <w:p w:rsidR="00311F7C" w:rsidRDefault="00311F7C" w:rsidP="00E76F6F">
      <w:r w:rsidRPr="0008690E">
        <w:t xml:space="preserve">Il s’interdit toute communication écrite ou verbale sur ces sujets ou toute remise de documents à des tiers, sans l’accord préalable </w:t>
      </w:r>
      <w:r>
        <w:t>de la personne responsable du marché</w:t>
      </w:r>
      <w:r w:rsidRPr="0008690E">
        <w:t>.</w:t>
      </w:r>
    </w:p>
    <w:p w:rsidR="00311F7C" w:rsidRDefault="00311F7C" w:rsidP="00E76F6F">
      <w:r>
        <w:t>Le représentant du</w:t>
      </w:r>
      <w:r w:rsidRPr="0008690E">
        <w:t xml:space="preserve"> </w:t>
      </w:r>
      <w:r>
        <w:t>titulaire</w:t>
      </w:r>
      <w:r w:rsidRPr="0008690E">
        <w:t xml:space="preserve">, qui sera le responsable du suivi et de la bonne </w:t>
      </w:r>
      <w:r>
        <w:t>coordination de l’</w:t>
      </w:r>
      <w:r w:rsidRPr="0008690E">
        <w:t xml:space="preserve">exécution </w:t>
      </w:r>
      <w:r>
        <w:t>du marché</w:t>
      </w:r>
      <w:r w:rsidRPr="0008690E">
        <w:t xml:space="preserve">, </w:t>
      </w:r>
      <w:r>
        <w:t xml:space="preserve">est </w:t>
      </w:r>
      <w:r w:rsidR="009161EB">
        <w:t xml:space="preserve">mentionné dans l’acte d’engagement </w:t>
      </w:r>
      <w:r>
        <w:t xml:space="preserve">ou à défaut est </w:t>
      </w:r>
      <w:r w:rsidRPr="0008690E">
        <w:t xml:space="preserve">désigné par le titulaire </w:t>
      </w:r>
      <w:r>
        <w:t>dès</w:t>
      </w:r>
      <w:r w:rsidRPr="0008690E">
        <w:t xml:space="preserve"> notification du </w:t>
      </w:r>
      <w:r>
        <w:t>marché</w:t>
      </w:r>
      <w:r w:rsidRPr="0008690E">
        <w:t>.</w:t>
      </w:r>
    </w:p>
    <w:p w:rsidR="009161EB" w:rsidRDefault="00311F7C" w:rsidP="00E76F6F">
      <w:r>
        <w:t xml:space="preserve">Il </w:t>
      </w:r>
      <w:r w:rsidR="009161EB">
        <w:t>est qualifié pour prendre toutes décisions utiles</w:t>
      </w:r>
      <w:r w:rsidR="00B62488">
        <w:t>, signer tout document, donner toutes instructions au personnel, assister aux réunions, etc…</w:t>
      </w:r>
    </w:p>
    <w:p w:rsidR="00B62488" w:rsidRDefault="00B62488" w:rsidP="00E76F6F">
      <w:r>
        <w:t>D’autres personnes physiques peuvent être désignées par écrit par le titulaire pour le représenter en cours d’exécution du marché.</w:t>
      </w:r>
    </w:p>
    <w:p w:rsidR="00696509" w:rsidRPr="00B62488" w:rsidRDefault="00696509" w:rsidP="00E76F6F">
      <w:r w:rsidRPr="00B62488">
        <w:t>En cas de groupement, le « titulaire » désigne l’ensemble des membres du groupement</w:t>
      </w:r>
      <w:r>
        <w:t>, le représentant du titulaire étant le mandataire du groupement</w:t>
      </w:r>
      <w:r w:rsidRPr="00B62488">
        <w:t>.</w:t>
      </w:r>
    </w:p>
    <w:p w:rsidR="00B62488" w:rsidRDefault="00696509" w:rsidP="00E76F6F">
      <w:pPr>
        <w:pStyle w:val="2NIV2"/>
      </w:pPr>
      <w:bookmarkStart w:id="18" w:name="_Toc60319479"/>
      <w:r>
        <w:t>2.2.2 – Groupement</w:t>
      </w:r>
      <w:bookmarkEnd w:id="18"/>
    </w:p>
    <w:p w:rsidR="00B20F4E" w:rsidRDefault="00C84103" w:rsidP="00E76F6F">
      <w:r w:rsidRPr="00C84103">
        <w:t xml:space="preserve">Au lieu d’être un prestataire unique, le titulaire du marché peut être un groupement. Il s’agit d’un </w:t>
      </w:r>
      <w:r w:rsidR="00B62488">
        <w:t>regroupement momentané d’opérateurs économiques qui s’engagent à exécuter le  marché ensemble pour le compte de l’acheteur public, en signa</w:t>
      </w:r>
      <w:r w:rsidR="00B20F4E">
        <w:t>nt un acte d’engagement unique.</w:t>
      </w:r>
    </w:p>
    <w:p w:rsidR="00B62488" w:rsidRDefault="00B62488" w:rsidP="00E76F6F">
      <w:r>
        <w:t xml:space="preserve">Il existe </w:t>
      </w:r>
      <w:r w:rsidR="005A50DA">
        <w:t>plusieurs</w:t>
      </w:r>
      <w:r>
        <w:t xml:space="preserve"> types de groupement</w:t>
      </w:r>
      <w:r w:rsidR="00B20F4E">
        <w:t xml:space="preserve">, dont l’un s’applique obligatoirement au présent marché en fonction </w:t>
      </w:r>
      <w:r w:rsidR="005A50DA">
        <w:t xml:space="preserve">des </w:t>
      </w:r>
      <w:r w:rsidR="00682533">
        <w:t>caractéristiques</w:t>
      </w:r>
      <w:r w:rsidR="005A50DA">
        <w:t xml:space="preserve"> suivant</w:t>
      </w:r>
      <w:r w:rsidR="00682533">
        <w:t>e</w:t>
      </w:r>
      <w:r w:rsidR="005A50DA">
        <w:t>s</w:t>
      </w:r>
      <w:r>
        <w:t xml:space="preserve"> :</w:t>
      </w:r>
    </w:p>
    <w:p w:rsidR="00B62488" w:rsidRDefault="00682533" w:rsidP="00010573">
      <w:pPr>
        <w:pStyle w:val="3NIV3"/>
      </w:pPr>
      <w:bookmarkStart w:id="19" w:name="_Toc60319480"/>
      <w:r w:rsidRPr="00682533">
        <w:t>Si les prestations sont divisées en lots dont chacun est assigné, avec son prix, à l'un des membres (cotraitants) du groupement</w:t>
      </w:r>
      <w:r>
        <w:t>,</w:t>
      </w:r>
      <w:r w:rsidRPr="00682533">
        <w:t> </w:t>
      </w:r>
      <w:r>
        <w:t xml:space="preserve">il s’agit d’un </w:t>
      </w:r>
      <w:r w:rsidRPr="00682533">
        <w:t>g</w:t>
      </w:r>
      <w:r w:rsidR="00B62488" w:rsidRPr="00682533">
        <w:t>roupement conjoint</w:t>
      </w:r>
      <w:r w:rsidRPr="00682533">
        <w:t xml:space="preserve"> </w:t>
      </w:r>
      <w:r w:rsidR="00B62488" w:rsidRPr="00682533">
        <w:t>:</w:t>
      </w:r>
      <w:bookmarkEnd w:id="19"/>
    </w:p>
    <w:p w:rsidR="005A50DA" w:rsidRPr="000F28AE" w:rsidRDefault="005A50DA" w:rsidP="00E76F6F">
      <w:pPr>
        <w:pStyle w:val="Listenormale"/>
      </w:pPr>
      <w:r>
        <w:t>chacun des membres du groupement est engagé uniquement sur le lot qui lui est assigné dans l’acte d’engagement ;</w:t>
      </w:r>
    </w:p>
    <w:p w:rsidR="00B62488" w:rsidRPr="000F28AE" w:rsidRDefault="005A50DA" w:rsidP="00E76F6F">
      <w:pPr>
        <w:pStyle w:val="Listenormale"/>
      </w:pPr>
      <w:r>
        <w:t xml:space="preserve">toutefois </w:t>
      </w:r>
      <w:r w:rsidR="00B62488" w:rsidRPr="000F28AE">
        <w:t xml:space="preserve">l'un </w:t>
      </w:r>
      <w:r>
        <w:t>des membres du groupement</w:t>
      </w:r>
      <w:r w:rsidR="00B62488" w:rsidRPr="000F28AE">
        <w:t>, désigné dans l'acte d'engagement comme mandataire, est solidaire</w:t>
      </w:r>
      <w:r w:rsidR="009C52F4" w:rsidRPr="000F28AE">
        <w:t>*</w:t>
      </w:r>
      <w:r w:rsidR="00B62488" w:rsidRPr="000F28AE">
        <w:t xml:space="preserve"> de chacun des autres </w:t>
      </w:r>
      <w:r w:rsidR="0038559F">
        <w:t xml:space="preserve">cotraitants </w:t>
      </w:r>
      <w:r w:rsidR="00B62488" w:rsidRPr="000F28AE">
        <w:t xml:space="preserve">dans </w:t>
      </w:r>
      <w:r>
        <w:t>leurs</w:t>
      </w:r>
      <w:r w:rsidR="00B62488" w:rsidRPr="000F28AE">
        <w:t xml:space="preserve"> obligations contractuelles </w:t>
      </w:r>
      <w:r>
        <w:t>à</w:t>
      </w:r>
      <w:r w:rsidR="00B62488" w:rsidRPr="000F28AE">
        <w:t xml:space="preserve"> l'égard de l’acheteur public </w:t>
      </w:r>
      <w:r w:rsidR="0038559F">
        <w:t>jusqu’à la fin du délai de garantie s’il en existe un</w:t>
      </w:r>
      <w:r>
        <w:t xml:space="preserve"> (</w:t>
      </w:r>
      <w:r w:rsidRPr="000F28AE">
        <w:t>jusqu’à la fin du marché</w:t>
      </w:r>
      <w:r>
        <w:t xml:space="preserve"> s’il n’existe pas de délai de garantie</w:t>
      </w:r>
      <w:r w:rsidR="0038559F">
        <w:t>)</w:t>
      </w:r>
      <w:r w:rsidR="00B62488" w:rsidRPr="000F28AE">
        <w:t xml:space="preserve"> ;</w:t>
      </w:r>
    </w:p>
    <w:p w:rsidR="00B62488" w:rsidRPr="000F28AE" w:rsidRDefault="00B62488" w:rsidP="00E76F6F">
      <w:pPr>
        <w:pStyle w:val="Listenormale"/>
      </w:pPr>
      <w:r w:rsidRPr="000F28AE">
        <w:t xml:space="preserve">le mandataire représente jusqu'à cette date, l'ensemble des membres du groupement, </w:t>
      </w:r>
      <w:r w:rsidR="0038559F">
        <w:t xml:space="preserve">vis-à-vis de l’acheteur public </w:t>
      </w:r>
      <w:r w:rsidRPr="000F28AE">
        <w:t>pour l'exécution du marché</w:t>
      </w:r>
      <w:r w:rsidR="00B20F4E">
        <w:t xml:space="preserve"> </w:t>
      </w:r>
      <w:r w:rsidRPr="000F28AE">
        <w:t>;</w:t>
      </w:r>
    </w:p>
    <w:p w:rsidR="00B62488" w:rsidRPr="000F28AE" w:rsidRDefault="00B62488" w:rsidP="00E76F6F">
      <w:pPr>
        <w:pStyle w:val="Listenormale"/>
      </w:pPr>
      <w:r w:rsidRPr="000F28AE">
        <w:t xml:space="preserve">si l’acheteur n’a pas déjà prévu </w:t>
      </w:r>
      <w:r w:rsidR="005A50DA">
        <w:t xml:space="preserve">à sa charge </w:t>
      </w:r>
      <w:r w:rsidRPr="000F28AE">
        <w:t>un pilote externe</w:t>
      </w:r>
      <w:r w:rsidR="005A50DA">
        <w:t xml:space="preserve"> au groupement</w:t>
      </w:r>
      <w:r w:rsidRPr="000F28AE">
        <w:t>, le mandataire assure la coordination des membres.</w:t>
      </w:r>
    </w:p>
    <w:p w:rsidR="00B62488" w:rsidRPr="00696509" w:rsidRDefault="00682533" w:rsidP="00E76F6F">
      <w:pPr>
        <w:pStyle w:val="3NIV3"/>
      </w:pPr>
      <w:bookmarkStart w:id="20" w:name="_Toc60319481"/>
      <w:r>
        <w:t xml:space="preserve">Si les prestations du marché </w:t>
      </w:r>
      <w:r w:rsidR="00A16753">
        <w:t xml:space="preserve">ne sont pas divisées en lots, et </w:t>
      </w:r>
      <w:r>
        <w:t>sont réglées par un prix global, il s’agit d’un g</w:t>
      </w:r>
      <w:r w:rsidR="00B62488" w:rsidRPr="00696509">
        <w:t>roupement solidaire</w:t>
      </w:r>
      <w:r>
        <w:t xml:space="preserve"> </w:t>
      </w:r>
      <w:r w:rsidR="00B62488" w:rsidRPr="00696509">
        <w:t>:</w:t>
      </w:r>
      <w:bookmarkEnd w:id="20"/>
    </w:p>
    <w:p w:rsidR="00B62488" w:rsidRDefault="00B62488" w:rsidP="00E76F6F">
      <w:pPr>
        <w:pStyle w:val="Listenormale"/>
      </w:pPr>
      <w:r>
        <w:t>chacun des membres du groupement est engagé pour la totalité du marché, et doit pallier solidairement</w:t>
      </w:r>
      <w:r w:rsidR="009C52F4">
        <w:t>*</w:t>
      </w:r>
      <w:r>
        <w:t xml:space="preserve"> une éventuelle défaillance de ses </w:t>
      </w:r>
      <w:r w:rsidR="0038559F">
        <w:t>cotraitants</w:t>
      </w:r>
      <w:r>
        <w:t xml:space="preserve"> ;</w:t>
      </w:r>
    </w:p>
    <w:p w:rsidR="00B62488" w:rsidRDefault="00B62488" w:rsidP="00E76F6F">
      <w:pPr>
        <w:pStyle w:val="Listenormale"/>
      </w:pPr>
      <w:r>
        <w:t xml:space="preserve">l'un d'entre eux, désigné </w:t>
      </w:r>
      <w:r w:rsidR="00962CFC">
        <w:t>dans l’acte d’engagement</w:t>
      </w:r>
      <w:r>
        <w:t xml:space="preserve"> comme mandataire, représente l'ensemble des membres du groupement vis-à-vis de l’acheteur public pour l'exécution du marché</w:t>
      </w:r>
      <w:r w:rsidR="00682533">
        <w:t>,</w:t>
      </w:r>
      <w:r>
        <w:t xml:space="preserve"> </w:t>
      </w:r>
      <w:r w:rsidR="00682533">
        <w:t>jusqu’à la fin du délai de garantie s’il en existe un (</w:t>
      </w:r>
      <w:r w:rsidR="00682533" w:rsidRPr="000F28AE">
        <w:t>jusqu’à la fin du marché</w:t>
      </w:r>
      <w:r w:rsidR="00682533">
        <w:t xml:space="preserve"> s’il n’existe pas de délai de garantie) </w:t>
      </w:r>
      <w:r>
        <w:t>;</w:t>
      </w:r>
    </w:p>
    <w:p w:rsidR="00B62488" w:rsidRDefault="00B62488" w:rsidP="00E76F6F">
      <w:pPr>
        <w:pStyle w:val="Listenormale"/>
      </w:pPr>
      <w:r>
        <w:t xml:space="preserve">le mandataire assure, sous sa responsabilité, </w:t>
      </w:r>
      <w:r w:rsidR="00682533">
        <w:t xml:space="preserve">jusqu’à cette date, </w:t>
      </w:r>
      <w:r>
        <w:t>la coordin</w:t>
      </w:r>
      <w:r w:rsidR="00682533">
        <w:t>ation des membres du groupement ;</w:t>
      </w:r>
    </w:p>
    <w:p w:rsidR="00682533" w:rsidRDefault="00682533" w:rsidP="00E76F6F">
      <w:pPr>
        <w:pStyle w:val="Listenormale"/>
      </w:pPr>
      <w:r>
        <w:t>il est possible que l’acte d’engagement précise une répartition du paiement</w:t>
      </w:r>
      <w:r w:rsidR="00A16753">
        <w:t xml:space="preserve"> entre les cotraitants, mais cela ne remet pas en cause la nature du groupement.</w:t>
      </w:r>
    </w:p>
    <w:p w:rsidR="00696509" w:rsidRDefault="009C52F4" w:rsidP="00E76F6F">
      <w:pPr>
        <w:pStyle w:val="3NIV3"/>
      </w:pPr>
      <w:bookmarkStart w:id="21" w:name="_Toc60319482"/>
      <w:r>
        <w:t>*</w:t>
      </w:r>
      <w:r w:rsidR="00696509">
        <w:t xml:space="preserve"> Solidarité</w:t>
      </w:r>
      <w:bookmarkEnd w:id="21"/>
    </w:p>
    <w:p w:rsidR="00F346D2" w:rsidRDefault="009C52F4" w:rsidP="00E76F6F">
      <w:r>
        <w:t>E</w:t>
      </w:r>
      <w:r w:rsidR="00B62488">
        <w:t>tre solidaire consiste à se substituer au cotraitant déclaré défaillant, en reprenant sous sa propre responsabilité les prestations qu’il devait achever (en les sous-traitant le cas échéant), les paiements correspondants de l’acheteur public ne pouvant excéder le montant restant à payer au cotraitant défaillant.</w:t>
      </w:r>
    </w:p>
    <w:p w:rsidR="00962CFC" w:rsidRDefault="00962CFC" w:rsidP="00E76F6F">
      <w:pPr>
        <w:pStyle w:val="3NIV3"/>
      </w:pPr>
      <w:bookmarkStart w:id="22" w:name="_Toc60319483"/>
      <w:r>
        <w:t>Désignation du mandataire</w:t>
      </w:r>
      <w:bookmarkEnd w:id="22"/>
    </w:p>
    <w:p w:rsidR="00962CFC" w:rsidRDefault="00962CFC" w:rsidP="00E76F6F">
      <w:r>
        <w:t>Le mandataire du groupement est désigné explicitement dans l’acte d’engagement. Si ce n’est pas le cas, il est réputé être le 1</w:t>
      </w:r>
      <w:r w:rsidRPr="00962CFC">
        <w:rPr>
          <w:vertAlign w:val="superscript"/>
        </w:rPr>
        <w:t>er</w:t>
      </w:r>
      <w:r>
        <w:t xml:space="preserve"> membre du groupement cité dans l’acte d’engagement.</w:t>
      </w:r>
    </w:p>
    <w:p w:rsidR="00696509" w:rsidRDefault="00696509" w:rsidP="00E76F6F">
      <w:pPr>
        <w:pStyle w:val="3NIV3"/>
      </w:pPr>
      <w:bookmarkStart w:id="23" w:name="_Toc60319484"/>
      <w:r>
        <w:t>Groupement dans un groupement</w:t>
      </w:r>
      <w:bookmarkEnd w:id="23"/>
    </w:p>
    <w:p w:rsidR="00684FB8" w:rsidRDefault="00696509" w:rsidP="00E76F6F">
      <w:r w:rsidRPr="00696509">
        <w:t>E</w:t>
      </w:r>
      <w:r w:rsidR="00684FB8" w:rsidRPr="00696509">
        <w:t>n cas de groupement conjoint dont chaque cotraitant doit exécuter un</w:t>
      </w:r>
      <w:r w:rsidR="00A16753">
        <w:t xml:space="preserve"> ou plusieurs</w:t>
      </w:r>
      <w:r w:rsidR="00684FB8" w:rsidRPr="00696509">
        <w:t xml:space="preserve"> lot</w:t>
      </w:r>
      <w:r w:rsidR="00A16753">
        <w:t>s</w:t>
      </w:r>
      <w:r w:rsidR="00684FB8" w:rsidRPr="00696509">
        <w:t>, il est possible qu’un lot soit assigné à un cotraitant qui est lui-même un groupement. Dans ce cas, ce groupement est réputé être solidaire pour les prestations dudit lot.</w:t>
      </w:r>
    </w:p>
    <w:p w:rsidR="0038559F" w:rsidRDefault="00B7258E" w:rsidP="002565F1">
      <w:pPr>
        <w:pStyle w:val="2NIV2"/>
      </w:pPr>
      <w:bookmarkStart w:id="24" w:name="_Toc60319485"/>
      <w:r>
        <w:t>2.</w:t>
      </w:r>
      <w:r w:rsidR="00696509">
        <w:t>2.3</w:t>
      </w:r>
      <w:r>
        <w:t xml:space="preserve"> – </w:t>
      </w:r>
      <w:r w:rsidR="00696509">
        <w:t>Sous-traitance</w:t>
      </w:r>
      <w:bookmarkEnd w:id="24"/>
    </w:p>
    <w:p w:rsidR="00560080" w:rsidRDefault="00560080" w:rsidP="00560080">
      <w:pPr>
        <w:pStyle w:val="3NIV3"/>
      </w:pPr>
      <w:bookmarkStart w:id="25" w:name="_Toc60319486"/>
      <w:r>
        <w:t>2.2.3.1 – Obligations préalables</w:t>
      </w:r>
      <w:bookmarkEnd w:id="25"/>
    </w:p>
    <w:p w:rsidR="0038559F" w:rsidRDefault="0038559F" w:rsidP="00E76F6F">
      <w:r>
        <w:t xml:space="preserve">Le titulaire d’un marché public peut confier </w:t>
      </w:r>
      <w:r w:rsidRPr="009931B1">
        <w:t xml:space="preserve">une partie de l’exécution du </w:t>
      </w:r>
      <w:r w:rsidR="00061182">
        <w:t>marché à un ou plusieurs sous-traitants, à</w:t>
      </w:r>
      <w:r w:rsidR="00061182" w:rsidRPr="00061182">
        <w:t xml:space="preserve"> condition d’avoir obtenu de </w:t>
      </w:r>
      <w:r w:rsidR="00061182">
        <w:t>l’acheteur public</w:t>
      </w:r>
      <w:r w:rsidR="00061182" w:rsidRPr="00061182">
        <w:t xml:space="preserve"> l</w:t>
      </w:r>
      <w:r w:rsidR="001336FB">
        <w:t xml:space="preserve">eur acceptation </w:t>
      </w:r>
      <w:r w:rsidR="00061182" w:rsidRPr="00061182">
        <w:t>et l’agrément des conditions de paiement de c</w:t>
      </w:r>
      <w:r w:rsidR="001336FB">
        <w:t>haque contrat de sous-traitance, sous forme d’avenant ou d’acte spécial de sous-traitance.</w:t>
      </w:r>
    </w:p>
    <w:p w:rsidR="001336FB" w:rsidRDefault="001336FB" w:rsidP="00E76F6F">
      <w:r>
        <w:t xml:space="preserve">A cette fin, </w:t>
      </w:r>
      <w:r w:rsidRPr="001336FB">
        <w:t>le titulaire</w:t>
      </w:r>
      <w:r w:rsidR="002E47FA">
        <w:t xml:space="preserve"> remet </w:t>
      </w:r>
      <w:r w:rsidRPr="001336FB">
        <w:t xml:space="preserve">à </w:t>
      </w:r>
      <w:r>
        <w:t>l’acheteur public</w:t>
      </w:r>
      <w:r w:rsidR="002E47FA">
        <w:t xml:space="preserve"> </w:t>
      </w:r>
      <w:r w:rsidRPr="001336FB">
        <w:t>une déclaration spéciale</w:t>
      </w:r>
      <w:r>
        <w:t xml:space="preserve"> contenant les renseignements nécessaires</w:t>
      </w:r>
      <w:r w:rsidR="00C837A0">
        <w:t xml:space="preserve">, </w:t>
      </w:r>
      <w:r w:rsidRPr="001336FB">
        <w:t xml:space="preserve">accompagnée des </w:t>
      </w:r>
      <w:r w:rsidR="00C837A0">
        <w:t>documents</w:t>
      </w:r>
      <w:r w:rsidR="002E47FA">
        <w:t xml:space="preserve"> relatifs au nantissement</w:t>
      </w:r>
      <w:r w:rsidR="00C837A0">
        <w:t xml:space="preserve">, </w:t>
      </w:r>
      <w:r w:rsidR="002E47FA">
        <w:t xml:space="preserve">des </w:t>
      </w:r>
      <w:r w:rsidRPr="001336FB">
        <w:t xml:space="preserve">attestations </w:t>
      </w:r>
      <w:r w:rsidR="002E47FA">
        <w:t xml:space="preserve">de régularité </w:t>
      </w:r>
      <w:r w:rsidR="00C837A0">
        <w:t xml:space="preserve">et </w:t>
      </w:r>
      <w:r w:rsidR="002E47FA">
        <w:t xml:space="preserve">des </w:t>
      </w:r>
      <w:r w:rsidRPr="001336FB">
        <w:t>justificatifs</w:t>
      </w:r>
      <w:r w:rsidR="002E47FA">
        <w:t xml:space="preserve"> de capacité</w:t>
      </w:r>
      <w:r w:rsidR="00C837A0">
        <w:t>,</w:t>
      </w:r>
      <w:r w:rsidRPr="001336FB">
        <w:t xml:space="preserve"> </w:t>
      </w:r>
      <w:r w:rsidR="002E47FA">
        <w:t xml:space="preserve">conformément </w:t>
      </w:r>
      <w:r w:rsidR="00C837A0">
        <w:t>aux articles 3 et 76-1 de la délibération n° 424 du 20 mars 2019 portant réglementation des marchés publics</w:t>
      </w:r>
      <w:r w:rsidRPr="001336FB">
        <w:t>.</w:t>
      </w:r>
    </w:p>
    <w:p w:rsidR="002E47FA" w:rsidRDefault="002E47FA" w:rsidP="00E76F6F">
      <w:r>
        <w:t>Voir annexe 1 au CCAP : modèle de déclaration spéciale.</w:t>
      </w:r>
    </w:p>
    <w:p w:rsidR="002E47FA" w:rsidRDefault="00C837A0" w:rsidP="00E76F6F">
      <w:r>
        <w:t>Le titulaire doit présenter sa demande suffisamment à l’avance pour tenir compte d</w:t>
      </w:r>
      <w:r w:rsidR="002E47FA">
        <w:t>u</w:t>
      </w:r>
      <w:r>
        <w:t xml:space="preserve"> délai </w:t>
      </w:r>
      <w:r w:rsidR="002E47FA">
        <w:t xml:space="preserve">maximal </w:t>
      </w:r>
      <w:r>
        <w:t xml:space="preserve">d’agrément </w:t>
      </w:r>
      <w:r w:rsidR="002E47FA">
        <w:t>prévu à l’article 3 de ladite délibération</w:t>
      </w:r>
      <w:r>
        <w:t>, et des opérations préparatoires nécessaires à l’intervention du sous-traitant.</w:t>
      </w:r>
    </w:p>
    <w:p w:rsidR="00C837A0" w:rsidRDefault="002E47FA" w:rsidP="00E76F6F">
      <w:r>
        <w:t>Aucune prolongation de délai ne sera accordée pour compenser un manque d’anticipation.</w:t>
      </w:r>
    </w:p>
    <w:p w:rsidR="00560080" w:rsidRDefault="00560080" w:rsidP="00560080">
      <w:pPr>
        <w:pStyle w:val="3NIV3"/>
      </w:pPr>
      <w:bookmarkStart w:id="26" w:name="_Toc60319487"/>
      <w:r>
        <w:t>2.2.3.2 - Responsabilités</w:t>
      </w:r>
      <w:bookmarkEnd w:id="26"/>
    </w:p>
    <w:p w:rsidR="00CE1632" w:rsidRDefault="009E3752" w:rsidP="00E76F6F">
      <w:r>
        <w:t xml:space="preserve">En tout état de cause, le titulaire reste </w:t>
      </w:r>
      <w:r w:rsidR="00CE1632">
        <w:t xml:space="preserve">toujours </w:t>
      </w:r>
      <w:r>
        <w:t>responsable des prestations de son sous</w:t>
      </w:r>
      <w:r w:rsidR="00CE1632">
        <w:t>-traitant.</w:t>
      </w:r>
    </w:p>
    <w:p w:rsidR="009E3752" w:rsidRDefault="00CE1632" w:rsidP="00E76F6F">
      <w:r>
        <w:t>Le titulaire peut ensuite se retourner vers son sous-traitant pour l’appeler en responsabilité.</w:t>
      </w:r>
    </w:p>
    <w:p w:rsidR="00560080" w:rsidRDefault="00560080" w:rsidP="00560080">
      <w:pPr>
        <w:pStyle w:val="3NIV3"/>
      </w:pPr>
      <w:bookmarkStart w:id="27" w:name="_Toc60319488"/>
      <w:r>
        <w:t>2.2.3.3 – Obligation d’information</w:t>
      </w:r>
      <w:bookmarkEnd w:id="27"/>
    </w:p>
    <w:p w:rsidR="00560080" w:rsidRDefault="00560080" w:rsidP="00560080">
      <w:r>
        <w:t>La personne responsable du marché ou le maître d’œuvre peut à tout moment demander au titulaire de fournir le contrat de sous-traitance pour vérifier la teneur des conditions de sous-traitance.</w:t>
      </w:r>
    </w:p>
    <w:p w:rsidR="00560080" w:rsidRDefault="00560080" w:rsidP="00560080">
      <w:r>
        <w:t>Le titulaire devra le lui fournir dans le délai imparti qui sera au minimum de 7 jours à compter de la notification de la demande.</w:t>
      </w:r>
    </w:p>
    <w:p w:rsidR="00A92C6B" w:rsidRDefault="00A92C6B" w:rsidP="002565F1">
      <w:pPr>
        <w:pStyle w:val="2NIV2"/>
      </w:pPr>
      <w:bookmarkStart w:id="28" w:name="_Toc60319489"/>
      <w:r>
        <w:t>2.2.4 – Sous-</w:t>
      </w:r>
      <w:r w:rsidRPr="002565F1">
        <w:t>traitance</w:t>
      </w:r>
      <w:r>
        <w:t xml:space="preserve"> de second rang</w:t>
      </w:r>
      <w:bookmarkEnd w:id="28"/>
    </w:p>
    <w:p w:rsidR="00560080" w:rsidRDefault="00560080" w:rsidP="00560080">
      <w:pPr>
        <w:pStyle w:val="3NIV3"/>
      </w:pPr>
      <w:bookmarkStart w:id="29" w:name="_Toc60319490"/>
      <w:r>
        <w:t>2.2.4.1 – Obligations préalables</w:t>
      </w:r>
      <w:bookmarkEnd w:id="29"/>
    </w:p>
    <w:p w:rsidR="00A92C6B" w:rsidRDefault="00A92C6B" w:rsidP="00E76F6F">
      <w:r>
        <w:t>Le sous-traitant du titulaire d’un marché public (appelé sous-traitant de 1</w:t>
      </w:r>
      <w:r w:rsidRPr="00A92C6B">
        <w:rPr>
          <w:vertAlign w:val="superscript"/>
        </w:rPr>
        <w:t>er</w:t>
      </w:r>
      <w:r>
        <w:t xml:space="preserve"> rang) peut confier </w:t>
      </w:r>
      <w:r w:rsidRPr="009931B1">
        <w:t xml:space="preserve">une partie de l’exécution du </w:t>
      </w:r>
      <w:r>
        <w:t>marché à un ou plusieurs sous-traitants, à</w:t>
      </w:r>
      <w:r w:rsidRPr="00061182">
        <w:t xml:space="preserve"> condition d’avoir obtenu de </w:t>
      </w:r>
      <w:r>
        <w:t>l’acheteur public</w:t>
      </w:r>
      <w:r w:rsidRPr="00061182">
        <w:t xml:space="preserve"> l</w:t>
      </w:r>
      <w:r>
        <w:t xml:space="preserve">eur acceptation </w:t>
      </w:r>
      <w:r w:rsidRPr="00061182">
        <w:t>et l’agrément des conditions de paiement de c</w:t>
      </w:r>
      <w:r>
        <w:t>haque contrat de sous-traitance, sous forme d’avenant ou d’acte spécial de sous-traitance.</w:t>
      </w:r>
    </w:p>
    <w:p w:rsidR="00A92C6B" w:rsidRDefault="00A92C6B" w:rsidP="00E76F6F">
      <w:r>
        <w:t xml:space="preserve">A cette fin, </w:t>
      </w:r>
      <w:r w:rsidRPr="001336FB">
        <w:t xml:space="preserve">le </w:t>
      </w:r>
      <w:r w:rsidR="009E3752">
        <w:t>sous-traitant de 1</w:t>
      </w:r>
      <w:r w:rsidR="009E3752" w:rsidRPr="009E3752">
        <w:rPr>
          <w:vertAlign w:val="superscript"/>
        </w:rPr>
        <w:t>er</w:t>
      </w:r>
      <w:r w:rsidR="009E3752">
        <w:t xml:space="preserve"> rang</w:t>
      </w:r>
      <w:r>
        <w:t xml:space="preserve"> remet </w:t>
      </w:r>
      <w:r w:rsidRPr="001336FB">
        <w:t xml:space="preserve">à </w:t>
      </w:r>
      <w:r>
        <w:t xml:space="preserve">l’acheteur public </w:t>
      </w:r>
      <w:r w:rsidRPr="001336FB">
        <w:t>une déclaration spéciale</w:t>
      </w:r>
      <w:r>
        <w:t xml:space="preserve"> contenant les renseignements nécessaires, </w:t>
      </w:r>
      <w:r w:rsidRPr="001336FB">
        <w:t xml:space="preserve">accompagnée des </w:t>
      </w:r>
      <w:r>
        <w:t xml:space="preserve">documents relatifs au nantissement, des </w:t>
      </w:r>
      <w:r w:rsidRPr="001336FB">
        <w:t xml:space="preserve">attestations </w:t>
      </w:r>
      <w:r>
        <w:t xml:space="preserve">de régularité et des </w:t>
      </w:r>
      <w:r w:rsidRPr="001336FB">
        <w:t>justificatifs</w:t>
      </w:r>
      <w:r>
        <w:t xml:space="preserve"> de capacité,</w:t>
      </w:r>
      <w:r w:rsidRPr="001336FB">
        <w:t xml:space="preserve"> </w:t>
      </w:r>
      <w:r>
        <w:t>conformément aux articles 3 et 76-1 de la délibération n° 424 du 20 mars 2019 portant réglementation des marchés publics</w:t>
      </w:r>
      <w:r w:rsidRPr="001336FB">
        <w:t>.</w:t>
      </w:r>
    </w:p>
    <w:p w:rsidR="00A92C6B" w:rsidRDefault="00A92C6B" w:rsidP="00E76F6F">
      <w:r>
        <w:t>Voir annexe 2 au CCAP : modèle de déclaration spéciale pour la sous-traitance de second rang.</w:t>
      </w:r>
    </w:p>
    <w:p w:rsidR="00A92C6B" w:rsidRDefault="00A92C6B" w:rsidP="00E76F6F">
      <w:r>
        <w:t xml:space="preserve">Le </w:t>
      </w:r>
      <w:r w:rsidR="009E3752">
        <w:t>sous-traitant de 1</w:t>
      </w:r>
      <w:r w:rsidR="009E3752" w:rsidRPr="009E3752">
        <w:rPr>
          <w:vertAlign w:val="superscript"/>
        </w:rPr>
        <w:t>er</w:t>
      </w:r>
      <w:r w:rsidR="009E3752">
        <w:t xml:space="preserve"> rang</w:t>
      </w:r>
      <w:r>
        <w:t xml:space="preserve"> doit présenter sa demande suffisamment à l’avance pour tenir compte du délai maximal d’agrément prévu à l’article 3 de ladite délibération, et des opérations préparatoires nécessaires à l’intervention du sous-traitant</w:t>
      </w:r>
      <w:r w:rsidR="009E3752">
        <w:t xml:space="preserve"> de 2è rang</w:t>
      </w:r>
      <w:r>
        <w:t>.</w:t>
      </w:r>
    </w:p>
    <w:p w:rsidR="00A92C6B" w:rsidRDefault="00A92C6B" w:rsidP="00E76F6F">
      <w:r>
        <w:t xml:space="preserve">Aucune prolongation de délai ne sera accordée </w:t>
      </w:r>
      <w:r w:rsidR="009E3752">
        <w:t xml:space="preserve">au titre du marché </w:t>
      </w:r>
      <w:r>
        <w:t>pour compenser un manque d’anticipation.</w:t>
      </w:r>
    </w:p>
    <w:p w:rsidR="00560080" w:rsidRDefault="00560080" w:rsidP="00560080">
      <w:pPr>
        <w:pStyle w:val="3NIV3"/>
      </w:pPr>
      <w:bookmarkStart w:id="30" w:name="_Toc60319491"/>
      <w:r>
        <w:t>2.2.4.2 - Responsabilités</w:t>
      </w:r>
      <w:bookmarkEnd w:id="30"/>
    </w:p>
    <w:p w:rsidR="00CE1632" w:rsidRDefault="00CE1632" w:rsidP="00E76F6F">
      <w:r>
        <w:t>En tout état de cause, le titulaire reste toujours responsable des prestations des sous-traitants de rang 1 ou de rang 2.</w:t>
      </w:r>
    </w:p>
    <w:p w:rsidR="00CE1632" w:rsidRDefault="00CE1632" w:rsidP="00E76F6F">
      <w:r>
        <w:t>Il peut ensuite se retourner vers son sous-traitant de rang 1 pour l’appeler en responsabilité, le sous-traitant de rang 1 appelant à son tour en responsabilité le sous-traitant de rang 2.</w:t>
      </w:r>
    </w:p>
    <w:p w:rsidR="00560080" w:rsidRDefault="00560080" w:rsidP="00560080">
      <w:pPr>
        <w:pStyle w:val="3NIV3"/>
      </w:pPr>
      <w:bookmarkStart w:id="31" w:name="_Toc60319492"/>
      <w:r>
        <w:t>2.2.4.3 – Obligation d’information</w:t>
      </w:r>
      <w:bookmarkEnd w:id="31"/>
    </w:p>
    <w:p w:rsidR="00C84103" w:rsidRDefault="00560080" w:rsidP="00C84103">
      <w:r>
        <w:t xml:space="preserve">La personne responsable du marché ou le maître d’œuvre peut à tout moment demander au </w:t>
      </w:r>
      <w:r w:rsidR="005F43A6">
        <w:t>sous-traitant de rang 1</w:t>
      </w:r>
      <w:r>
        <w:t xml:space="preserve"> de fournir le contrat de sous-traitance</w:t>
      </w:r>
      <w:r w:rsidR="005F43A6">
        <w:t>, ou les justificatifs de caution,</w:t>
      </w:r>
      <w:r>
        <w:t xml:space="preserve"> pour vérifier la teneur des conditions de sous-traitance</w:t>
      </w:r>
      <w:r w:rsidR="005F43A6">
        <w:t xml:space="preserve"> de rang 2</w:t>
      </w:r>
      <w:r>
        <w:t>.</w:t>
      </w:r>
      <w:r w:rsidR="00C84103" w:rsidRPr="00C84103">
        <w:t xml:space="preserve"> </w:t>
      </w:r>
    </w:p>
    <w:p w:rsidR="00C84103" w:rsidRDefault="00C84103" w:rsidP="00C84103">
      <w:r>
        <w:t>Le sous-traitant de rang 1 devra les lui fournir dans le délai imparti qui sera au minimum de 7 jours à compter de la notification de la demande.</w:t>
      </w:r>
    </w:p>
    <w:p w:rsidR="00311F7C" w:rsidRPr="0008690E" w:rsidRDefault="00311F7C" w:rsidP="005F43A6">
      <w:pPr>
        <w:pStyle w:val="1NIV1"/>
      </w:pPr>
      <w:bookmarkStart w:id="32" w:name="_Toc47515530"/>
      <w:bookmarkStart w:id="33" w:name="_Toc60319493"/>
      <w:r>
        <w:t>2</w:t>
      </w:r>
      <w:r w:rsidRPr="0008690E">
        <w:t>.</w:t>
      </w:r>
      <w:r>
        <w:t>3</w:t>
      </w:r>
      <w:r w:rsidRPr="0008690E">
        <w:t xml:space="preserve"> </w:t>
      </w:r>
      <w:r>
        <w:t xml:space="preserve">- </w:t>
      </w:r>
      <w:r w:rsidRPr="0008690E">
        <w:t>COMMUNICATION</w:t>
      </w:r>
      <w:bookmarkEnd w:id="32"/>
      <w:bookmarkEnd w:id="33"/>
    </w:p>
    <w:p w:rsidR="00311F7C" w:rsidRDefault="00311F7C" w:rsidP="00E76F6F">
      <w:r w:rsidRPr="0008690E">
        <w:t xml:space="preserve">Les notifications entre le référent du </w:t>
      </w:r>
      <w:r>
        <w:t>marché</w:t>
      </w:r>
      <w:r w:rsidRPr="0008690E">
        <w:t xml:space="preserve"> et le représentant du prestataire se font par tout moyen avec preuve de réception datée (notification), notamment :</w:t>
      </w:r>
    </w:p>
    <w:p w:rsidR="00311F7C" w:rsidRDefault="00311F7C" w:rsidP="0096151F">
      <w:pPr>
        <w:pStyle w:val="Listenormale"/>
      </w:pPr>
      <w:r w:rsidRPr="0008690E">
        <w:t xml:space="preserve">document </w:t>
      </w:r>
      <w:r w:rsidR="00A6494E">
        <w:t xml:space="preserve">écrit </w:t>
      </w:r>
      <w:r w:rsidRPr="0008690E">
        <w:t>en recommandé avec avis de réception postal ;</w:t>
      </w:r>
    </w:p>
    <w:p w:rsidR="00311F7C" w:rsidRDefault="00311F7C" w:rsidP="0096151F">
      <w:pPr>
        <w:pStyle w:val="Listenormale"/>
      </w:pPr>
      <w:r w:rsidRPr="0008690E">
        <w:t xml:space="preserve">document </w:t>
      </w:r>
      <w:r w:rsidR="00A6494E">
        <w:t xml:space="preserve">écrit </w:t>
      </w:r>
      <w:r w:rsidRPr="0008690E">
        <w:t>remis en mains propres avec récépissé ;</w:t>
      </w:r>
    </w:p>
    <w:p w:rsidR="00311F7C" w:rsidRDefault="00311F7C" w:rsidP="0096151F">
      <w:pPr>
        <w:pStyle w:val="Listenormale"/>
      </w:pPr>
      <w:r w:rsidRPr="0008690E">
        <w:t xml:space="preserve">document </w:t>
      </w:r>
      <w:r w:rsidR="00A6494E">
        <w:t xml:space="preserve">écrit </w:t>
      </w:r>
      <w:r w:rsidRPr="0008690E">
        <w:t>transmis par ou intégré à un courrier électronique</w:t>
      </w:r>
      <w:r w:rsidR="00A6494E">
        <w:t>,</w:t>
      </w:r>
      <w:r w:rsidRPr="0008690E">
        <w:t xml:space="preserve"> avec courrier électronique en retour établissant la réception dudit courrier électronique</w:t>
      </w:r>
      <w:r w:rsidR="00A6494E">
        <w:t xml:space="preserve"> premièrement cité</w:t>
      </w:r>
      <w:r w:rsidRPr="0008690E">
        <w:t>.</w:t>
      </w:r>
    </w:p>
    <w:p w:rsidR="00A16753" w:rsidRDefault="00A16753" w:rsidP="00A16753">
      <w:pPr>
        <w:pStyle w:val="1NIV1"/>
      </w:pPr>
      <w:bookmarkStart w:id="34" w:name="_Toc52958989"/>
      <w:bookmarkStart w:id="35" w:name="_Toc60319494"/>
      <w:r>
        <w:t>2.4 – AUTRES INTERVENANTS DANS L’EXECUTION DU MARCHÉ</w:t>
      </w:r>
      <w:bookmarkEnd w:id="34"/>
      <w:bookmarkEnd w:id="35"/>
    </w:p>
    <w:p w:rsidR="00A16753" w:rsidRDefault="00A16753" w:rsidP="00A16753">
      <w:pPr>
        <w:pStyle w:val="2NIV2"/>
      </w:pPr>
      <w:bookmarkStart w:id="36" w:name="_Toc52958990"/>
      <w:bookmarkStart w:id="37" w:name="_Toc60319495"/>
      <w:r>
        <w:t>2.4.1 – Conduite d’opération (ou assistant à maîtrise d’ouvrage)</w:t>
      </w:r>
      <w:bookmarkEnd w:id="36"/>
      <w:bookmarkEnd w:id="37"/>
    </w:p>
    <w:p w:rsidR="00A16753" w:rsidRDefault="00555941" w:rsidP="00A16753">
      <w:pPr>
        <w:pStyle w:val="NormalX"/>
      </w:pPr>
      <w:sdt>
        <w:sdtPr>
          <w:id w:val="13129861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p w:rsidR="00A16753" w:rsidRDefault="00555941" w:rsidP="00A16753">
      <w:pPr>
        <w:pStyle w:val="NormalX"/>
      </w:pPr>
      <w:sdt>
        <w:sdtPr>
          <w:id w:val="1437798628"/>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 conducteur d’opération est chargé d’une mission d’assistance générale à caractère administratif, financier et technique auprès de l’acheteur public dans le cadre de l’opération.</w:t>
      </w:r>
    </w:p>
    <w:p w:rsidR="00A16753" w:rsidRDefault="00A16753" w:rsidP="00A16753">
      <w:r>
        <w:t>Le conducteur d’opération est : …………………….</w:t>
      </w:r>
    </w:p>
    <w:p w:rsidR="00A16753" w:rsidRDefault="00A16753" w:rsidP="00A16753">
      <w:pPr>
        <w:pStyle w:val="2NIV2"/>
      </w:pPr>
      <w:bookmarkStart w:id="38" w:name="_Toc52958991"/>
      <w:bookmarkStart w:id="39" w:name="_Toc60319496"/>
      <w:r>
        <w:t>2.4.2 – Maîtrise d'œuvre</w:t>
      </w:r>
      <w:bookmarkEnd w:id="38"/>
      <w:bookmarkEnd w:id="39"/>
    </w:p>
    <w:p w:rsidR="00A16753" w:rsidRDefault="00555941" w:rsidP="00A16753">
      <w:pPr>
        <w:pStyle w:val="NormalX"/>
      </w:pPr>
      <w:sdt>
        <w:sdtPr>
          <w:id w:val="-198261517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p w:rsidR="00A16753" w:rsidRDefault="00555941" w:rsidP="00A16753">
      <w:pPr>
        <w:pStyle w:val="NormalX"/>
      </w:pPr>
      <w:sdt>
        <w:sdtPr>
          <w:id w:val="-213609812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 maître d’œuvre est : …………………….</w:t>
      </w:r>
    </w:p>
    <w:p w:rsidR="00A16753" w:rsidRDefault="00A16753" w:rsidP="00A16753">
      <w:r>
        <w:t>Les interventions du maître d’œuvre sont celles prévues par le CCAG applicable au présent marché.</w:t>
      </w:r>
    </w:p>
    <w:p w:rsidR="00A16753" w:rsidRDefault="00A16753" w:rsidP="00A16753">
      <w:r>
        <w:t>A défaut de précisions apportées par le CCAG ou le CCTP, ces interventions consistent à diriger, suivre, contrôler, vérifier l’exécution des prestations et valider les règlements correspondants.</w:t>
      </w:r>
    </w:p>
    <w:p w:rsidR="00A16753" w:rsidRDefault="00A16753" w:rsidP="00A16753">
      <w:r>
        <w:t>Notamment, les attributions du maître sont les suivantes dans le cadre du présent marché :</w:t>
      </w:r>
    </w:p>
    <w:p w:rsidR="00A16753" w:rsidRDefault="00555941" w:rsidP="00A16753">
      <w:pPr>
        <w:pStyle w:val="Liste-X"/>
      </w:pPr>
      <w:sdt>
        <w:sdtPr>
          <w:id w:val="-37076857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émission et notification d’ordres de service pour diriger et coordonner l’exécution des prestations ;</w:t>
      </w:r>
    </w:p>
    <w:p w:rsidR="00A16753" w:rsidRDefault="00555941" w:rsidP="00A16753">
      <w:pPr>
        <w:pStyle w:val="Liste-X"/>
      </w:pPr>
      <w:sdt>
        <w:sdtPr>
          <w:id w:val="652716958"/>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émission et notification d’ordres de service pour modifier les prestations ;</w:t>
      </w:r>
    </w:p>
    <w:p w:rsidR="00A16753" w:rsidRDefault="00555941" w:rsidP="00A16753">
      <w:pPr>
        <w:pStyle w:val="Liste-X"/>
      </w:pPr>
      <w:sdt>
        <w:sdtPr>
          <w:id w:val="-897436009"/>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émission et notification d’ordres de service pour transmettre les décisions de la personne responsable du marché ;</w:t>
      </w:r>
    </w:p>
    <w:p w:rsidR="00A16753" w:rsidRDefault="00555941" w:rsidP="00A16753">
      <w:pPr>
        <w:pStyle w:val="Liste-X"/>
      </w:pPr>
      <w:sdt>
        <w:sdtPr>
          <w:rPr>
            <w:rFonts w:ascii="MS Gothic" w:eastAsia="MS Gothic" w:hAnsi="MS Gothic"/>
          </w:rPr>
          <w:id w:val="743530995"/>
          <w14:checkbox>
            <w14:checked w14:val="0"/>
            <w14:checkedState w14:val="2612" w14:font="MS Gothic"/>
            <w14:uncheckedState w14:val="2610" w14:font="MS Gothic"/>
          </w14:checkbox>
        </w:sdtPr>
        <w:sdtEndPr/>
        <w:sdtContent>
          <w:r w:rsidR="00A16753" w:rsidRPr="00023565">
            <w:rPr>
              <w:rFonts w:ascii="MS Gothic" w:eastAsia="MS Gothic" w:hAnsi="MS Gothic" w:hint="eastAsia"/>
            </w:rPr>
            <w:t>☐</w:t>
          </w:r>
        </w:sdtContent>
      </w:sdt>
      <w:r w:rsidR="00A16753">
        <w:t xml:space="preserve"> direction des réunions sur site, périodiques ou non, émission de procès-verbaux donnant lieu à demandes d’exécution opposables au titulaire ;</w:t>
      </w:r>
    </w:p>
    <w:p w:rsidR="00A16753" w:rsidRDefault="00555941" w:rsidP="00A16753">
      <w:pPr>
        <w:pStyle w:val="Liste-X"/>
      </w:pPr>
      <w:sdt>
        <w:sdtPr>
          <w:id w:val="978193500"/>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validation préalable de démarches techniques ou de documents d’exécution ;</w:t>
      </w:r>
    </w:p>
    <w:p w:rsidR="00A16753" w:rsidRDefault="00555941" w:rsidP="00A16753">
      <w:pPr>
        <w:pStyle w:val="Liste-X"/>
      </w:pPr>
      <w:sdt>
        <w:sdtPr>
          <w:id w:val="1667664658"/>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vérification, validation des demandes de paiement et éventuellement établissement de documents accompagnant ces demandes de paiement ;</w:t>
      </w:r>
    </w:p>
    <w:p w:rsidR="00A16753" w:rsidRDefault="00555941" w:rsidP="00A16753">
      <w:pPr>
        <w:pStyle w:val="Liste-X"/>
      </w:pPr>
      <w:sdt>
        <w:sdtPr>
          <w:id w:val="-179797748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assistance à l’acheteur et avis sur l’acceptation ou la réception des prestations ;</w:t>
      </w:r>
    </w:p>
    <w:p w:rsidR="00A16753" w:rsidRDefault="00555941" w:rsidP="00A16753">
      <w:pPr>
        <w:pStyle w:val="Liste-X"/>
      </w:pPr>
      <w:sdt>
        <w:sdtPr>
          <w:id w:val="-1269153060"/>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assistance à l’acheteur et avis sur les retards et responsabilités donnant lieu à l’application de pénalités.</w:t>
      </w:r>
    </w:p>
    <w:p w:rsidR="00A16753" w:rsidRDefault="00555941" w:rsidP="00A16753">
      <w:pPr>
        <w:pStyle w:val="Listenormale"/>
      </w:pPr>
      <w:sdt>
        <w:sdtPr>
          <w:id w:val="428554531"/>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La prestation du maître d’œuvre ne comporte aucune étude d’exécution (calculs, plans, etc.) autre que celle fournie dans le cadre du présent marché. Le complément d’études d’exécution est intégralement à la charge du titulaire.</w:t>
      </w:r>
    </w:p>
    <w:p w:rsidR="00A16753" w:rsidRDefault="00A16753" w:rsidP="00A16753">
      <w:pPr>
        <w:pStyle w:val="2NIV2"/>
      </w:pPr>
      <w:bookmarkStart w:id="40" w:name="_Toc52958992"/>
      <w:bookmarkStart w:id="41" w:name="_Toc60319497"/>
      <w:r>
        <w:t>2.4.3 – Contrôle technique</w:t>
      </w:r>
      <w:bookmarkEnd w:id="40"/>
      <w:bookmarkEnd w:id="41"/>
    </w:p>
    <w:p w:rsidR="00A16753" w:rsidRDefault="00555941" w:rsidP="00A16753">
      <w:pPr>
        <w:pStyle w:val="NormalX"/>
      </w:pPr>
      <w:sdt>
        <w:sdtPr>
          <w:id w:val="375130203"/>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p w:rsidR="00A16753" w:rsidRDefault="00555941" w:rsidP="00A16753">
      <w:pPr>
        <w:pStyle w:val="NormalX"/>
      </w:pPr>
      <w:sdt>
        <w:sdtPr>
          <w:id w:val="-744947013"/>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 contrôleur technique est chargé notamment des missions de contrôle technique suivantes dans le cadre de l’opération (une ou plusieurs cases à cocher) :</w:t>
      </w:r>
    </w:p>
    <w:p w:rsidR="00A16753" w:rsidRDefault="00555941" w:rsidP="00A16753">
      <w:pPr>
        <w:pStyle w:val="Liste-X"/>
      </w:pPr>
      <w:sdt>
        <w:sdtPr>
          <w:id w:val="1369101706"/>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solidité des ouvrages y compris étanchéité,</w:t>
      </w:r>
    </w:p>
    <w:p w:rsidR="00A16753" w:rsidRDefault="00555941" w:rsidP="00A16753">
      <w:pPr>
        <w:pStyle w:val="Liste-X"/>
      </w:pPr>
      <w:sdt>
        <w:sdtPr>
          <w:id w:val="-1986384645"/>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vérification règlementaire des installations électriques (travailleurs),</w:t>
      </w:r>
    </w:p>
    <w:p w:rsidR="00A16753" w:rsidRDefault="00555941" w:rsidP="00A16753">
      <w:pPr>
        <w:pStyle w:val="Liste-X"/>
      </w:pPr>
      <w:sdt>
        <w:sdtPr>
          <w:id w:val="-48940718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sécurité des personnes (établissements recevant du public),</w:t>
      </w:r>
    </w:p>
    <w:p w:rsidR="00A16753" w:rsidRDefault="00555941" w:rsidP="00A16753">
      <w:pPr>
        <w:pStyle w:val="Liste-X"/>
      </w:pPr>
      <w:sdt>
        <w:sdtPr>
          <w:id w:val="828021893"/>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formalités relatives au COTSUEL.</w:t>
      </w:r>
    </w:p>
    <w:p w:rsidR="00A16753" w:rsidRDefault="00A16753" w:rsidP="00A16753">
      <w:r>
        <w:t>Le contrôleur technique est : …………………….</w:t>
      </w:r>
    </w:p>
    <w:p w:rsidR="00A16753" w:rsidRDefault="00A16753" w:rsidP="00A16753">
      <w:pPr>
        <w:pStyle w:val="2NIV2"/>
      </w:pPr>
      <w:bookmarkStart w:id="42" w:name="_Toc52958993"/>
      <w:bookmarkStart w:id="43" w:name="_Toc60319498"/>
      <w:r>
        <w:t>2.4.4 – Ordonnancement, pilotage et coordination (OPC)</w:t>
      </w:r>
      <w:bookmarkEnd w:id="42"/>
      <w:bookmarkEnd w:id="43"/>
    </w:p>
    <w:p w:rsidR="00A16753" w:rsidRDefault="00555941" w:rsidP="00A16753">
      <w:pPr>
        <w:pStyle w:val="NormalX"/>
      </w:pPr>
      <w:sdt>
        <w:sdtPr>
          <w:id w:val="-24766291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p w:rsidR="00A16753" w:rsidRDefault="00555941" w:rsidP="00A16753">
      <w:pPr>
        <w:pStyle w:val="NormalX"/>
      </w:pPr>
      <w:sdt>
        <w:sdtPr>
          <w:id w:val="-745720208"/>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La mission d'ordonnancement - pilotage - coordination des prestations exécutées au titre du présent marché est assurée par (une seule case à cocher) :</w:t>
      </w:r>
    </w:p>
    <w:p w:rsidR="00A16753" w:rsidRPr="0096151F" w:rsidRDefault="00555941" w:rsidP="00A16753">
      <w:pPr>
        <w:pStyle w:val="Listenormale"/>
      </w:pPr>
      <w:sdt>
        <w:sdtPr>
          <w:id w:val="-1151830936"/>
          <w14:checkbox>
            <w14:checked w14:val="0"/>
            <w14:checkedState w14:val="2612" w14:font="MS Gothic"/>
            <w14:uncheckedState w14:val="2610" w14:font="MS Gothic"/>
          </w14:checkbox>
        </w:sdtPr>
        <w:sdtEndPr/>
        <w:sdtContent>
          <w:r w:rsidR="00A16753" w:rsidRPr="0096151F">
            <w:rPr>
              <w:rFonts w:eastAsia="MS Gothic" w:hint="eastAsia"/>
            </w:rPr>
            <w:t>☐</w:t>
          </w:r>
        </w:sdtContent>
      </w:sdt>
      <w:r w:rsidR="00A16753" w:rsidRPr="0096151F">
        <w:t xml:space="preserve"> le mandataire du groupement titulaire du marché ;</w:t>
      </w:r>
    </w:p>
    <w:p w:rsidR="00A16753" w:rsidRPr="0096151F" w:rsidRDefault="00555941" w:rsidP="00A16753">
      <w:pPr>
        <w:pStyle w:val="Listenormale"/>
      </w:pPr>
      <w:sdt>
        <w:sdtPr>
          <w:id w:val="-1450080415"/>
          <w14:checkbox>
            <w14:checked w14:val="0"/>
            <w14:checkedState w14:val="2612" w14:font="MS Gothic"/>
            <w14:uncheckedState w14:val="2610" w14:font="MS Gothic"/>
          </w14:checkbox>
        </w:sdtPr>
        <w:sdtEndPr/>
        <w:sdtContent>
          <w:r w:rsidR="00A16753" w:rsidRPr="0096151F">
            <w:rPr>
              <w:rFonts w:eastAsia="MS Gothic" w:hint="eastAsia"/>
            </w:rPr>
            <w:t>☐</w:t>
          </w:r>
        </w:sdtContent>
      </w:sdt>
      <w:r w:rsidR="00A16753" w:rsidRPr="0096151F">
        <w:t xml:space="preserve"> un sous-traitant spécialisé du mandataire du groupement titulaire du marché ;</w:t>
      </w:r>
    </w:p>
    <w:p w:rsidR="00A16753" w:rsidRPr="0096151F" w:rsidRDefault="00555941" w:rsidP="00A16753">
      <w:pPr>
        <w:pStyle w:val="Listenormale"/>
      </w:pPr>
      <w:sdt>
        <w:sdtPr>
          <w:id w:val="2131273323"/>
          <w14:checkbox>
            <w14:checked w14:val="0"/>
            <w14:checkedState w14:val="2612" w14:font="MS Gothic"/>
            <w14:uncheckedState w14:val="2610" w14:font="MS Gothic"/>
          </w14:checkbox>
        </w:sdtPr>
        <w:sdtEndPr/>
        <w:sdtContent>
          <w:r w:rsidR="00A16753" w:rsidRPr="0096151F">
            <w:rPr>
              <w:rFonts w:eastAsia="MS Gothic" w:hint="eastAsia"/>
            </w:rPr>
            <w:t>☐</w:t>
          </w:r>
        </w:sdtContent>
      </w:sdt>
      <w:r w:rsidR="00A16753" w:rsidRPr="0096151F">
        <w:t xml:space="preserve"> un prestataire externe à la charge de l’acheteur public : …………………….</w:t>
      </w:r>
    </w:p>
    <w:p w:rsidR="00A16753" w:rsidRDefault="00A16753" w:rsidP="00A16753">
      <w:r>
        <w:t>A défaut de précisions apportées par le CCTP, les interventions de l’OPC consistent à diriger, suivre, contrôler, vérifier le bon déroulement des prestations dans le temps et l’espace, en termes de délais et de coordination des intervenants.</w:t>
      </w:r>
    </w:p>
    <w:p w:rsidR="00A16753" w:rsidRDefault="00A16753" w:rsidP="00A16753">
      <w:r>
        <w:t>Notamment, ses attributions sont les suivantes dans le cadre du présent marché :</w:t>
      </w:r>
    </w:p>
    <w:p w:rsidR="00A16753" w:rsidRDefault="00555941" w:rsidP="00A16753">
      <w:pPr>
        <w:pStyle w:val="Liste-X"/>
      </w:pPr>
      <w:sdt>
        <w:sdtPr>
          <w:id w:val="67400161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émission et notification de calendriers d’exécution initiaux ou modificatifs ;</w:t>
      </w:r>
    </w:p>
    <w:p w:rsidR="00A16753" w:rsidRDefault="00555941" w:rsidP="00A16753">
      <w:pPr>
        <w:pStyle w:val="Liste-X"/>
      </w:pPr>
      <w:sdt>
        <w:sdtPr>
          <w:rPr>
            <w:rFonts w:ascii="MS Gothic" w:eastAsia="MS Gothic" w:hAnsi="MS Gothic"/>
          </w:rPr>
          <w:id w:val="-581991366"/>
          <w14:checkbox>
            <w14:checked w14:val="0"/>
            <w14:checkedState w14:val="2612" w14:font="MS Gothic"/>
            <w14:uncheckedState w14:val="2610" w14:font="MS Gothic"/>
          </w14:checkbox>
        </w:sdtPr>
        <w:sdtEndPr/>
        <w:sdtContent>
          <w:r w:rsidR="00A16753" w:rsidRPr="00023565">
            <w:rPr>
              <w:rFonts w:ascii="MS Gothic" w:eastAsia="MS Gothic" w:hAnsi="MS Gothic" w:hint="eastAsia"/>
            </w:rPr>
            <w:t>☐</w:t>
          </w:r>
        </w:sdtContent>
      </w:sdt>
      <w:r w:rsidR="00A16753">
        <w:t xml:space="preserve"> direction de réunions sur site, périodiques ou non, émission de procès-verbaux donnant lieu à demandes d’exécution opposables au titulaire en référence à ces calendriers ;</w:t>
      </w:r>
    </w:p>
    <w:p w:rsidR="00A16753" w:rsidRDefault="00555941" w:rsidP="00A16753">
      <w:pPr>
        <w:pStyle w:val="Liste-X"/>
      </w:pPr>
      <w:sdt>
        <w:sdtPr>
          <w:id w:val="1543089208"/>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gestion </w:t>
      </w:r>
      <w:proofErr w:type="gramStart"/>
      <w:r w:rsidR="00A16753">
        <w:t>du compte inter-entreprises</w:t>
      </w:r>
      <w:proofErr w:type="gramEnd"/>
      <w:r w:rsidR="00A16753">
        <w:t xml:space="preserve"> réglant les dépenses communes (compte prorata) ;</w:t>
      </w:r>
    </w:p>
    <w:p w:rsidR="00A16753" w:rsidRDefault="00555941" w:rsidP="00A16753">
      <w:pPr>
        <w:pStyle w:val="Liste-X"/>
      </w:pPr>
      <w:sdt>
        <w:sdtPr>
          <w:id w:val="708003231"/>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vérification, validation des demandes de paiement conditionnées par le respect des calendriers ou des règles de gestion du compte inter-entreprises, et éventuellement établissement de documents accompagnant ces demandes de paiement ;</w:t>
      </w:r>
    </w:p>
    <w:p w:rsidR="00A16753" w:rsidRDefault="00555941" w:rsidP="00A16753">
      <w:pPr>
        <w:pStyle w:val="Liste-X"/>
      </w:pPr>
      <w:sdt>
        <w:sdtPr>
          <w:id w:val="1344591504"/>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assistance à l’acheteur et avis sur les retards et responsabilités donnant lieu à l’application de pénalités.</w:t>
      </w:r>
    </w:p>
    <w:p w:rsidR="00A16753" w:rsidRDefault="00A16753" w:rsidP="00A16753">
      <w:pPr>
        <w:pStyle w:val="2NIV2"/>
      </w:pPr>
      <w:bookmarkStart w:id="44" w:name="_Toc52958994"/>
      <w:bookmarkStart w:id="45" w:name="_Toc60319499"/>
      <w:r>
        <w:t>2.4.5 – Synthèse</w:t>
      </w:r>
      <w:bookmarkEnd w:id="44"/>
      <w:bookmarkEnd w:id="45"/>
    </w:p>
    <w:p w:rsidR="00A16753" w:rsidRDefault="00555941" w:rsidP="00A16753">
      <w:pPr>
        <w:pStyle w:val="NormalX"/>
      </w:pPr>
      <w:sdt>
        <w:sdtPr>
          <w:id w:val="1072708991"/>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p w:rsidR="00A16753" w:rsidRDefault="00555941" w:rsidP="00A16753">
      <w:pPr>
        <w:pStyle w:val="NormalX"/>
      </w:pPr>
      <w:sdt>
        <w:sdtPr>
          <w:id w:val="-1944057657"/>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La supervision et l’animation de la cellule de synthèse à laquelle sont invitées en tant que de besoin les entreprises concernées, seront assurées par (une seule case à cocher) :</w:t>
      </w:r>
    </w:p>
    <w:p w:rsidR="00A16753" w:rsidRDefault="00555941" w:rsidP="00A16753">
      <w:pPr>
        <w:pStyle w:val="Listenormale"/>
      </w:pPr>
      <w:sdt>
        <w:sdtPr>
          <w:id w:val="667745039"/>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 maître d’œuvre</w:t>
      </w:r>
    </w:p>
    <w:p w:rsidR="00A16753" w:rsidRDefault="00555941" w:rsidP="00A16753">
      <w:pPr>
        <w:pStyle w:val="Listenormale"/>
      </w:pPr>
      <w:sdt>
        <w:sdtPr>
          <w:id w:val="-2133399505"/>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L’entreprise titulaire du lot ……………… .</w:t>
      </w:r>
    </w:p>
    <w:p w:rsidR="00A16753" w:rsidRDefault="00555941" w:rsidP="00A16753">
      <w:pPr>
        <w:pStyle w:val="NormalX"/>
      </w:pPr>
      <w:sdt>
        <w:sdtPr>
          <w:id w:val="-962960253"/>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La réalisation des plans de synthèse sur la base des documents remis par les entreprises (qui mettront à jour ces documents sur la base des plans de synthèse) sera assurée par (une seule case à cocher) :</w:t>
      </w:r>
    </w:p>
    <w:p w:rsidR="00A16753" w:rsidRDefault="00555941" w:rsidP="00A16753">
      <w:pPr>
        <w:pStyle w:val="Listenormale"/>
      </w:pPr>
      <w:sdt>
        <w:sdtPr>
          <w:id w:val="-1929415749"/>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 maître d’œuvre</w:t>
      </w:r>
    </w:p>
    <w:p w:rsidR="00A16753" w:rsidRDefault="00555941" w:rsidP="00A16753">
      <w:pPr>
        <w:pStyle w:val="Listenormale"/>
      </w:pPr>
      <w:sdt>
        <w:sdtPr>
          <w:id w:val="1933469198"/>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L’entreprise titulaire du lot ……………… .</w:t>
      </w:r>
    </w:p>
    <w:p w:rsidR="00A16753" w:rsidRDefault="00A16753" w:rsidP="00A16753">
      <w:pPr>
        <w:pStyle w:val="2NIV2"/>
      </w:pPr>
      <w:bookmarkStart w:id="46" w:name="_Toc52958995"/>
      <w:bookmarkStart w:id="47" w:name="_Toc60319500"/>
      <w:r>
        <w:t>2.4.6 – Coordination santé-sécurité</w:t>
      </w:r>
      <w:bookmarkEnd w:id="46"/>
      <w:bookmarkEnd w:id="47"/>
    </w:p>
    <w:p w:rsidR="00A16753" w:rsidRDefault="00555941" w:rsidP="00A16753">
      <w:pPr>
        <w:pStyle w:val="NormalX"/>
      </w:pPr>
      <w:sdt>
        <w:sdtPr>
          <w:id w:val="583112099"/>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p w:rsidR="00A16753" w:rsidRDefault="00555941" w:rsidP="00A16753">
      <w:pPr>
        <w:pStyle w:val="NormalX"/>
      </w:pPr>
      <w:sdt>
        <w:sdtPr>
          <w:id w:val="-222597791"/>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Cf. délibération n° 207 du 7 août 2012 relative à la santé-sécurité sur les chantiers de bâtiments. </w:t>
      </w:r>
    </w:p>
    <w:p w:rsidR="00A16753" w:rsidRDefault="00A16753" w:rsidP="00A16753">
      <w:r>
        <w:t>Le coordonnateur santé sécurité est : …………………….</w:t>
      </w:r>
    </w:p>
    <w:p w:rsidR="00A16753" w:rsidRDefault="00A16753" w:rsidP="00A16753">
      <w:pPr>
        <w:pStyle w:val="2NIV2"/>
      </w:pPr>
      <w:bookmarkStart w:id="48" w:name="_Toc52958996"/>
      <w:bookmarkStart w:id="49" w:name="_Toc60319501"/>
      <w:r>
        <w:t>2.4.7 – Autres contrats ou marchés concomitants pouvant avoir un impact sur l’exécution du marché</w:t>
      </w:r>
      <w:bookmarkEnd w:id="48"/>
      <w:bookmarkEnd w:id="49"/>
    </w:p>
    <w:p w:rsidR="00A16753" w:rsidRDefault="00555941" w:rsidP="00A16753">
      <w:pPr>
        <w:pStyle w:val="NormalX"/>
      </w:pPr>
      <w:sdt>
        <w:sdtPr>
          <w:id w:val="-1295139282"/>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Sans objet.</w:t>
      </w:r>
    </w:p>
    <w:p w:rsidR="00A16753" w:rsidRDefault="00555941" w:rsidP="00A16753">
      <w:pPr>
        <w:pStyle w:val="NormalX"/>
      </w:pPr>
      <w:sdt>
        <w:sdtPr>
          <w:id w:val="1394006841"/>
          <w14:checkbox>
            <w14:checked w14:val="0"/>
            <w14:checkedState w14:val="2612" w14:font="MS Gothic"/>
            <w14:uncheckedState w14:val="2610" w14:font="MS Gothic"/>
          </w14:checkbox>
        </w:sdtPr>
        <w:sdtEndPr/>
        <w:sdtContent>
          <w:r w:rsidR="00A16753">
            <w:rPr>
              <w:rFonts w:ascii="MS Gothic" w:eastAsia="MS Gothic" w:hAnsi="MS Gothic" w:hint="eastAsia"/>
            </w:rPr>
            <w:t>☐</w:t>
          </w:r>
        </w:sdtContent>
      </w:sdt>
      <w:r w:rsidR="00A16753">
        <w:t xml:space="preserve"> L’opération est impactée par l’intervention d’autres prestataires listés ci-après :</w:t>
      </w:r>
    </w:p>
    <w:p w:rsidR="00A16753" w:rsidRDefault="00A16753" w:rsidP="00A16753">
      <w:pPr>
        <w:pStyle w:val="Listenormale"/>
      </w:pPr>
      <w:r>
        <w:t>…………………….</w:t>
      </w:r>
    </w:p>
    <w:p w:rsidR="00A16753" w:rsidRDefault="00A16753" w:rsidP="00A16753">
      <w:pPr>
        <w:pStyle w:val="Listenormale"/>
      </w:pPr>
      <w:r>
        <w:t>…………………….</w:t>
      </w:r>
    </w:p>
    <w:p w:rsidR="00A16753" w:rsidRDefault="00A16753" w:rsidP="00A16753">
      <w:pPr>
        <w:pStyle w:val="Listenormale"/>
      </w:pPr>
    </w:p>
    <w:p w:rsidR="00CA0464" w:rsidRDefault="00CA0464" w:rsidP="00E76F6F">
      <w:r>
        <w:br w:type="page"/>
      </w:r>
    </w:p>
    <w:p w:rsidR="00F241C4" w:rsidRPr="008B1AA1" w:rsidRDefault="00F241C4" w:rsidP="005F43A6">
      <w:pPr>
        <w:pStyle w:val="0ENTETE"/>
      </w:pPr>
      <w:bookmarkStart w:id="50" w:name="_Toc60319502"/>
      <w:r w:rsidRPr="008B1AA1">
        <w:t xml:space="preserve">ARTICLE </w:t>
      </w:r>
      <w:r w:rsidR="00B7258E">
        <w:t>3</w:t>
      </w:r>
      <w:r w:rsidRPr="008B1AA1">
        <w:t xml:space="preserve"> – </w:t>
      </w:r>
      <w:r>
        <w:t>PIECES CONSTITUTIVES DU MARCHÉ</w:t>
      </w:r>
      <w:bookmarkEnd w:id="50"/>
    </w:p>
    <w:p w:rsidR="00FF7663" w:rsidRDefault="00FF7663" w:rsidP="00E76F6F">
      <w:r w:rsidRPr="00FF7663">
        <w:t>L</w:t>
      </w:r>
      <w:r w:rsidR="00DD5255">
        <w:t>es pièces constitutives du</w:t>
      </w:r>
      <w:r w:rsidRPr="00FF7663">
        <w:t xml:space="preserve"> marché </w:t>
      </w:r>
      <w:r w:rsidR="00DD5255">
        <w:t>sont les suivantes, et en cas de contradiction entre leurs stipulations, prévalent dans l’ordre d</w:t>
      </w:r>
      <w:r w:rsidRPr="00FF7663">
        <w:t xml:space="preserve">e priorité </w:t>
      </w:r>
      <w:r w:rsidR="00281459">
        <w:t xml:space="preserve">décroissante </w:t>
      </w:r>
      <w:r w:rsidR="00BB4A26">
        <w:t xml:space="preserve">où elles sont citées </w:t>
      </w:r>
      <w:r w:rsidR="00DD5255">
        <w:t>ci-après</w:t>
      </w:r>
      <w:r w:rsidR="00281459">
        <w:t>.</w:t>
      </w:r>
    </w:p>
    <w:p w:rsidR="00281459" w:rsidRDefault="00281459" w:rsidP="00E76F6F">
      <w:r>
        <w:t>Les exemplaires conservés par l’acheteur font seuls foi en cas de litige.</w:t>
      </w:r>
    </w:p>
    <w:p w:rsidR="00281459" w:rsidRDefault="00281459" w:rsidP="00E76F6F">
      <w:r>
        <w:t>Toute réserve ou clause limitative de responsabilité intégrée dans l’offre du titulaire est expressément considérée comme nulle et non avenue.</w:t>
      </w:r>
    </w:p>
    <w:p w:rsidR="00281459" w:rsidRDefault="00B7258E" w:rsidP="005F43A6">
      <w:pPr>
        <w:pStyle w:val="1NIV1"/>
      </w:pPr>
      <w:bookmarkStart w:id="51" w:name="_Toc60319503"/>
      <w:r>
        <w:t>3</w:t>
      </w:r>
      <w:r w:rsidR="00281459">
        <w:t>.1 – PIECES PARTICULIERES</w:t>
      </w:r>
      <w:bookmarkEnd w:id="51"/>
    </w:p>
    <w:p w:rsidR="000171CB" w:rsidRPr="00651ADB" w:rsidRDefault="000171CB" w:rsidP="000171CB">
      <w:pPr>
        <w:pStyle w:val="ListeX"/>
      </w:pPr>
      <w:r w:rsidRPr="00651ADB">
        <w:t>l’acte d’engagement et ses annexes éventuelles ;</w:t>
      </w:r>
    </w:p>
    <w:p w:rsidR="000171CB" w:rsidRPr="00651ADB" w:rsidRDefault="000171CB" w:rsidP="000171CB">
      <w:pPr>
        <w:pStyle w:val="ListeX"/>
      </w:pPr>
      <w:r w:rsidRPr="00651ADB">
        <w:t>le présent cahier des clauses administratives particulières (CCAP) et ses annexes ;</w:t>
      </w:r>
    </w:p>
    <w:p w:rsidR="000171CB" w:rsidRPr="00651ADB" w:rsidRDefault="000171CB" w:rsidP="000171CB">
      <w:pPr>
        <w:pStyle w:val="ListeX"/>
      </w:pPr>
      <w:r w:rsidRPr="00651ADB">
        <w:t>le cahier des clauses techniques particulières (CCTP) et ses annexes ;</w:t>
      </w:r>
    </w:p>
    <w:p w:rsidR="000171CB" w:rsidRPr="00B63DE9" w:rsidRDefault="00555941" w:rsidP="000171CB">
      <w:pPr>
        <w:pStyle w:val="ListeX"/>
      </w:pPr>
      <w:sdt>
        <w:sdtPr>
          <w:id w:val="-935136311"/>
          <w14:checkbox>
            <w14:checked w14:val="0"/>
            <w14:checkedState w14:val="2612" w14:font="MS Gothic"/>
            <w14:uncheckedState w14:val="2610" w14:font="MS Gothic"/>
          </w14:checkbox>
        </w:sdtPr>
        <w:sdtEndPr/>
        <w:sdtContent>
          <w:r w:rsidR="000171CB" w:rsidRPr="00B63DE9">
            <w:rPr>
              <w:rFonts w:eastAsia="MS Gothic" w:hint="eastAsia"/>
            </w:rPr>
            <w:t>☐</w:t>
          </w:r>
        </w:sdtContent>
      </w:sdt>
      <w:r w:rsidR="000171CB" w:rsidRPr="00B63DE9">
        <w:t xml:space="preserve"> </w:t>
      </w:r>
      <w:r w:rsidR="000171CB">
        <w:t>les extraits</w:t>
      </w:r>
      <w:r w:rsidR="000171CB" w:rsidRPr="00B63DE9">
        <w:t xml:space="preserve"> du mémoire technique remis par le titulaire lors de la consultation</w:t>
      </w:r>
      <w:r w:rsidR="000171CB">
        <w:t>,</w:t>
      </w:r>
      <w:r w:rsidR="000171CB" w:rsidRPr="00B63DE9">
        <w:t xml:space="preserve"> qui précise</w:t>
      </w:r>
      <w:r w:rsidR="000171CB">
        <w:t>nt</w:t>
      </w:r>
      <w:r w:rsidR="000171CB" w:rsidRPr="00B63DE9">
        <w:t xml:space="preserve"> les modalités d’exécution du marché ;</w:t>
      </w:r>
    </w:p>
    <w:p w:rsidR="000171CB" w:rsidRDefault="00555941" w:rsidP="000171CB">
      <w:pPr>
        <w:pStyle w:val="ListeX"/>
      </w:pPr>
      <w:sdt>
        <w:sdtPr>
          <w:id w:val="-534125027"/>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le bordereau des prix unitaires (BPU) ;</w:t>
      </w:r>
    </w:p>
    <w:p w:rsidR="000171CB" w:rsidRPr="00B63DE9" w:rsidRDefault="00555941" w:rsidP="000171CB">
      <w:pPr>
        <w:pStyle w:val="ListeX"/>
      </w:pPr>
      <w:sdt>
        <w:sdtPr>
          <w:id w:val="-157162151"/>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w:t>
      </w:r>
      <w:r w:rsidR="000171CB">
        <w:t>la décomposition du prix global et forfaitaire</w:t>
      </w:r>
      <w:r w:rsidR="000171CB" w:rsidRPr="00B63DE9">
        <w:t xml:space="preserve"> (</w:t>
      </w:r>
      <w:r w:rsidR="000171CB">
        <w:t>DPGF</w:t>
      </w:r>
      <w:r w:rsidR="000171CB" w:rsidRPr="00B63DE9">
        <w:t>) ;</w:t>
      </w:r>
    </w:p>
    <w:p w:rsidR="000171CB" w:rsidRPr="00B63DE9" w:rsidRDefault="00555941" w:rsidP="000171CB">
      <w:pPr>
        <w:pStyle w:val="ListeX"/>
      </w:pPr>
      <w:sdt>
        <w:sdtPr>
          <w:id w:val="-240562138"/>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le </w:t>
      </w:r>
      <w:r w:rsidR="000171CB">
        <w:t>détail estimatif des prestations réglées sur prix unitaires</w:t>
      </w:r>
      <w:r w:rsidR="000171CB" w:rsidRPr="00B63DE9">
        <w:t> ;</w:t>
      </w:r>
    </w:p>
    <w:p w:rsidR="000171CB" w:rsidRDefault="00555941" w:rsidP="000171CB">
      <w:pPr>
        <w:pStyle w:val="ListeX"/>
      </w:pPr>
      <w:sdt>
        <w:sdtPr>
          <w:id w:val="423072811"/>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t xml:space="preserve"> </w:t>
      </w:r>
      <w:r w:rsidR="000171CB" w:rsidRPr="00651ADB">
        <w:t xml:space="preserve">les </w:t>
      </w:r>
      <w:r w:rsidR="000171CB">
        <w:t xml:space="preserve">documents </w:t>
      </w:r>
      <w:r w:rsidR="000171CB" w:rsidRPr="00651ADB">
        <w:t>techniques </w:t>
      </w:r>
      <w:r w:rsidR="000171CB">
        <w:t xml:space="preserve">suivants : ……………………………………. </w:t>
      </w:r>
      <w:r w:rsidR="000171CB" w:rsidRPr="00651ADB">
        <w:t>;</w:t>
      </w:r>
    </w:p>
    <w:p w:rsidR="000171CB" w:rsidRPr="00B63DE9" w:rsidRDefault="00555941" w:rsidP="000171CB">
      <w:pPr>
        <w:pStyle w:val="ListeX"/>
      </w:pPr>
      <w:sdt>
        <w:sdtPr>
          <w:id w:val="-1696466242"/>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w:t>
      </w:r>
      <w:r w:rsidR="000171CB">
        <w:t>les plans techniques</w:t>
      </w:r>
      <w:r w:rsidR="000171CB" w:rsidRPr="00B63DE9">
        <w:t> ;</w:t>
      </w:r>
    </w:p>
    <w:p w:rsidR="000171CB" w:rsidRDefault="00555941" w:rsidP="000171CB">
      <w:pPr>
        <w:pStyle w:val="ListeX"/>
      </w:pPr>
      <w:sdt>
        <w:sdtPr>
          <w:id w:val="-1517231688"/>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t xml:space="preserve"> le planning détaillé ;</w:t>
      </w:r>
    </w:p>
    <w:p w:rsidR="000171CB" w:rsidRPr="00B63DE9" w:rsidRDefault="00555941" w:rsidP="000171CB">
      <w:pPr>
        <w:pStyle w:val="ListeX"/>
      </w:pPr>
      <w:sdt>
        <w:sdtPr>
          <w:id w:val="1651014005"/>
          <w14:checkbox>
            <w14:checked w14:val="0"/>
            <w14:checkedState w14:val="2612" w14:font="MS Gothic"/>
            <w14:uncheckedState w14:val="2610" w14:font="MS Gothic"/>
          </w14:checkbox>
        </w:sdtPr>
        <w:sdtEndPr/>
        <w:sdtContent>
          <w:r w:rsidR="000171CB">
            <w:rPr>
              <w:rFonts w:ascii="MS Gothic" w:eastAsia="MS Gothic" w:hAnsi="MS Gothic" w:hint="eastAsia"/>
            </w:rPr>
            <w:t>☐</w:t>
          </w:r>
        </w:sdtContent>
      </w:sdt>
      <w:r w:rsidR="000171CB" w:rsidRPr="00B63DE9">
        <w:t xml:space="preserve"> </w:t>
      </w:r>
      <w:r w:rsidR="000171CB">
        <w:t>…</w:t>
      </w:r>
    </w:p>
    <w:p w:rsidR="00281459" w:rsidRDefault="00B7258E" w:rsidP="005F43A6">
      <w:pPr>
        <w:pStyle w:val="1NIV1"/>
      </w:pPr>
      <w:bookmarkStart w:id="52" w:name="_Toc60319504"/>
      <w:r>
        <w:t>3</w:t>
      </w:r>
      <w:r w:rsidR="00281459">
        <w:t>.2 – PIECES GENERALES</w:t>
      </w:r>
      <w:bookmarkEnd w:id="52"/>
    </w:p>
    <w:p w:rsidR="00281459" w:rsidRDefault="00555941" w:rsidP="00B63DE9">
      <w:pPr>
        <w:pStyle w:val="ListeX"/>
      </w:pPr>
      <w:sdt>
        <w:sdtPr>
          <w:id w:val="-163863073"/>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CE1632">
        <w:t xml:space="preserve"> </w:t>
      </w:r>
      <w:r w:rsidR="00281459" w:rsidRPr="00DC0195">
        <w:t xml:space="preserve">le cahier des clauses administratives générales </w:t>
      </w:r>
      <w:r w:rsidR="00F078BD">
        <w:t xml:space="preserve">(CCAG) </w:t>
      </w:r>
      <w:r w:rsidR="00281459" w:rsidRPr="00DC0195">
        <w:t xml:space="preserve">applicables aux marchés publics de </w:t>
      </w:r>
      <w:r w:rsidR="00281459" w:rsidRPr="00F078BD">
        <w:rPr>
          <w:b/>
        </w:rPr>
        <w:t>travaux</w:t>
      </w:r>
      <w:r w:rsidR="00281459" w:rsidRPr="00DC0195">
        <w:t xml:space="preserve"> passés en application de la délibération n° 424 du 20 mars 2019 portant régl</w:t>
      </w:r>
      <w:r w:rsidR="00F078BD">
        <w:t>ementation des marchés publics, annexé à la délibération n° 64/CP du 10 mai 1989 modifiée</w:t>
      </w:r>
      <w:r w:rsidR="00F078BD" w:rsidRPr="00DC0195">
        <w:t> </w:t>
      </w:r>
      <w:r w:rsidR="002742B6">
        <w:t xml:space="preserve">– téléchargeable sur </w:t>
      </w:r>
      <w:hyperlink r:id="rId9" w:history="1">
        <w:r w:rsidR="002742B6" w:rsidRPr="000103F8">
          <w:rPr>
            <w:rStyle w:val="Lienhypertexte"/>
          </w:rPr>
          <w:t>https://juridoc.gouv.nc</w:t>
        </w:r>
      </w:hyperlink>
      <w:r w:rsidR="002742B6">
        <w:t xml:space="preserve"> </w:t>
      </w:r>
      <w:r w:rsidR="00281459" w:rsidRPr="00DC0195">
        <w:t>;</w:t>
      </w:r>
    </w:p>
    <w:p w:rsidR="002742B6" w:rsidRDefault="00555941" w:rsidP="00B63DE9">
      <w:pPr>
        <w:pStyle w:val="ListeX"/>
      </w:pPr>
      <w:sdt>
        <w:sdtPr>
          <w:id w:val="2115083499"/>
          <w14:checkbox>
            <w14:checked w14:val="0"/>
            <w14:checkedState w14:val="2612" w14:font="MS Gothic"/>
            <w14:uncheckedState w14:val="2610" w14:font="MS Gothic"/>
          </w14:checkbox>
        </w:sdtPr>
        <w:sdtEndPr/>
        <w:sdtContent>
          <w:r w:rsidR="002742B6">
            <w:rPr>
              <w:rFonts w:ascii="MS Gothic" w:eastAsia="MS Gothic" w:hAnsi="MS Gothic" w:hint="eastAsia"/>
            </w:rPr>
            <w:t>☐</w:t>
          </w:r>
        </w:sdtContent>
      </w:sdt>
      <w:r w:rsidR="002742B6">
        <w:t xml:space="preserve"> </w:t>
      </w:r>
      <w:r w:rsidR="002742B6" w:rsidRPr="00DC0195">
        <w:t>le cahier des clauses techniques générales (CCTG) applicable aux marchés de travaux</w:t>
      </w:r>
      <w:r w:rsidR="002742B6">
        <w:t xml:space="preserve"> de génie civil : liste de l’arrêté du 28 mai 2018</w:t>
      </w:r>
      <w:r w:rsidR="00B64574">
        <w:t>, ou à défaut, liste de l’arrêté du 30 mai 2012</w:t>
      </w:r>
      <w:r w:rsidR="002742B6">
        <w:t> ;</w:t>
      </w:r>
    </w:p>
    <w:p w:rsidR="00281459" w:rsidRDefault="00555941" w:rsidP="00B63DE9">
      <w:pPr>
        <w:pStyle w:val="ListeX"/>
      </w:pPr>
      <w:sdt>
        <w:sdtPr>
          <w:id w:val="783537046"/>
          <w14:checkbox>
            <w14:checked w14:val="0"/>
            <w14:checkedState w14:val="2612" w14:font="MS Gothic"/>
            <w14:uncheckedState w14:val="2610" w14:font="MS Gothic"/>
          </w14:checkbox>
        </w:sdtPr>
        <w:sdtEndPr/>
        <w:sdtContent>
          <w:r w:rsidR="00CE1632">
            <w:rPr>
              <w:rFonts w:ascii="MS Gothic" w:eastAsia="MS Gothic" w:hAnsi="MS Gothic" w:hint="eastAsia"/>
            </w:rPr>
            <w:t>☐</w:t>
          </w:r>
        </w:sdtContent>
      </w:sdt>
      <w:r w:rsidR="00265B3E">
        <w:t xml:space="preserve"> </w:t>
      </w:r>
      <w:r w:rsidR="002742B6">
        <w:t xml:space="preserve">les normes AFNOR applicables en Nouvelle-Calédonie, disponibles par : </w:t>
      </w:r>
      <w:hyperlink r:id="rId10" w:history="1">
        <w:r w:rsidR="002742B6" w:rsidRPr="000103F8">
          <w:rPr>
            <w:rStyle w:val="Lienhypertexte"/>
          </w:rPr>
          <w:t>https://rcnc.gouv.nc/normes-et-materiaux/liste-des-normes-afnor-applicables-en-nc</w:t>
        </w:r>
      </w:hyperlink>
      <w:r w:rsidR="00B64574">
        <w:t>.</w:t>
      </w:r>
    </w:p>
    <w:p w:rsidR="00DC0195" w:rsidRDefault="002742B6" w:rsidP="00E76F6F">
      <w:r>
        <w:t xml:space="preserve">Ces pièces générales, </w:t>
      </w:r>
      <w:r w:rsidR="00DC0195">
        <w:t>non joint</w:t>
      </w:r>
      <w:r>
        <w:t>e</w:t>
      </w:r>
      <w:r w:rsidR="00DC0195">
        <w:t>s, sont ce</w:t>
      </w:r>
      <w:r>
        <w:t>lles en vigueur</w:t>
      </w:r>
      <w:r w:rsidR="00DC0195">
        <w:t xml:space="preserve"> au mois </w:t>
      </w:r>
      <w:r w:rsidR="002E3E40">
        <w:t>Mo</w:t>
      </w:r>
      <w:r w:rsidR="00DC0195">
        <w:t>.</w:t>
      </w:r>
    </w:p>
    <w:p w:rsidR="00FF7663" w:rsidRDefault="00FF7663" w:rsidP="00E76F6F"/>
    <w:p w:rsidR="00F241C4" w:rsidRDefault="00F241C4" w:rsidP="00E76F6F">
      <w:r>
        <w:br w:type="page"/>
      </w:r>
    </w:p>
    <w:p w:rsidR="000171CB" w:rsidRPr="003629D5" w:rsidRDefault="000171CB" w:rsidP="000171CB">
      <w:pPr>
        <w:pStyle w:val="0ENTETE"/>
      </w:pPr>
      <w:bookmarkStart w:id="53" w:name="_Toc60303287"/>
      <w:bookmarkStart w:id="54" w:name="_Toc60319505"/>
      <w:r>
        <w:t>ARTICLE 4</w:t>
      </w:r>
      <w:r w:rsidRPr="003629D5">
        <w:t xml:space="preserve">  - MODALITES DE COMMANDE</w:t>
      </w:r>
      <w:r>
        <w:t xml:space="preserve"> DES PRESTATIONS</w:t>
      </w:r>
      <w:bookmarkEnd w:id="53"/>
      <w:bookmarkEnd w:id="54"/>
    </w:p>
    <w:p w:rsidR="000171CB" w:rsidRDefault="000171CB" w:rsidP="000171CB">
      <w:pPr>
        <w:pStyle w:val="2NIV2"/>
      </w:pPr>
      <w:bookmarkStart w:id="55" w:name="_Toc56387525"/>
      <w:bookmarkStart w:id="56" w:name="_Toc47349735"/>
      <w:bookmarkStart w:id="57" w:name="_Toc47515537"/>
      <w:bookmarkStart w:id="58" w:name="_Toc60319506"/>
      <w:r>
        <w:t>4.1 – DEMARRAGE DE L’EXECUTION DES PRESTATIONS DU MARCHE</w:t>
      </w:r>
      <w:bookmarkEnd w:id="55"/>
      <w:bookmarkEnd w:id="58"/>
    </w:p>
    <w:p w:rsidR="000171CB" w:rsidRDefault="000171CB" w:rsidP="000171CB">
      <w:r>
        <w:t>Voir article 5 de l’acte d’engagement7.</w:t>
      </w:r>
    </w:p>
    <w:p w:rsidR="000171CB" w:rsidRDefault="000171CB" w:rsidP="000171CB">
      <w:pPr>
        <w:pStyle w:val="2NIV2"/>
      </w:pPr>
      <w:bookmarkStart w:id="59" w:name="_Toc56387526"/>
      <w:bookmarkStart w:id="60" w:name="_Toc60319507"/>
      <w:r>
        <w:t>4.2 – DEMANDE DE PRESTATIONS SUPPLEMENTAIRES</w:t>
      </w:r>
      <w:bookmarkEnd w:id="59"/>
      <w:bookmarkEnd w:id="60"/>
    </w:p>
    <w:p w:rsidR="00D97255" w:rsidRDefault="00D97255" w:rsidP="00D97255">
      <w:r>
        <w:t>En cas de marché régi par le CCAG travaux, la procédure à suivre est décrite à l’article 14 dudit CCAG. Elle est complétée par les dispositions suivantes qui ne la contredisent pas.</w:t>
      </w:r>
    </w:p>
    <w:p w:rsidR="00D97255" w:rsidRDefault="00D97255" w:rsidP="00D97255">
      <w:r>
        <w:t>Si le marché n’est pas régi par le CCAG travaux, les dispositions suivantes sont applicables.</w:t>
      </w:r>
    </w:p>
    <w:p w:rsidR="000171CB" w:rsidRDefault="000171CB" w:rsidP="00D97255">
      <w:r>
        <w:t>Sauf en cas d’urgence, le référent du marché consulte le titulaire en lui précisant les caractéristiques des prestations supplémentaires à fournir et l’invite à présenter une proposition de prix dans un délai minimal de 7 jours.</w:t>
      </w:r>
    </w:p>
    <w:p w:rsidR="000171CB" w:rsidRDefault="000171CB" w:rsidP="000171CB">
      <w:r>
        <w:t>Après fourniture de cette proposition, ou en l’absence de proposition dans le délai imparti, ou encore en cas d’urgence, la personne responsable du marché notifie au titulaire un ordre de service pour l’exécution des prestations supplémentaires avec un prix provisoire qu’il définit lui-même.</w:t>
      </w:r>
    </w:p>
    <w:p w:rsidR="000171CB" w:rsidRDefault="000171CB" w:rsidP="000171CB">
      <w:r>
        <w:t>En cas de désaccord avec le prix provisoire, le titulaire ne peut se soustraire à l’exécution des prestations, mais il peut émettre des observations écrites avec toutes les justifications utiles concernant le prix qu’il propose, dans le délai d’un mois après notification de cet ordre de service, sous peine de forclusion.</w:t>
      </w:r>
    </w:p>
    <w:p w:rsidR="000171CB" w:rsidRDefault="000171CB" w:rsidP="000171CB">
      <w:r>
        <w:t>Lorsque les prix sont arrêtés d’accord parties, ils font l’objet d’un avenant signé des deux parties.</w:t>
      </w:r>
    </w:p>
    <w:p w:rsidR="000171CB" w:rsidRDefault="000171CB" w:rsidP="000171CB">
      <w:r>
        <w:t>Dans l’attente de cet avenant :</w:t>
      </w:r>
    </w:p>
    <w:p w:rsidR="000171CB" w:rsidRDefault="000171CB" w:rsidP="000171CB">
      <w:pPr>
        <w:pStyle w:val="Listenormale"/>
      </w:pPr>
      <w:r>
        <w:t>les prix provisoires sont appliqués aux demandes de paiement, sans que les demandes de paiement totales ne puissent excéder le montant contractuel (marché initial ou dernier avenant) ;</w:t>
      </w:r>
    </w:p>
    <w:p w:rsidR="000171CB" w:rsidRDefault="000171CB" w:rsidP="000171CB">
      <w:pPr>
        <w:pStyle w:val="Listenormale"/>
      </w:pPr>
      <w:r>
        <w:t>il est fait application des dispositions des articles 75 et 76 de la délibération n° 424 du 20 mars 2019.</w:t>
      </w:r>
    </w:p>
    <w:p w:rsidR="000171CB" w:rsidRDefault="000171CB" w:rsidP="000171CB">
      <w:pPr>
        <w:pStyle w:val="2NIV2"/>
      </w:pPr>
      <w:bookmarkStart w:id="61" w:name="_Toc56387527"/>
      <w:bookmarkStart w:id="62" w:name="_Toc60319508"/>
      <w:r>
        <w:t>4.3 – DECISION DE POURSUIVRE</w:t>
      </w:r>
      <w:bookmarkEnd w:id="61"/>
      <w:bookmarkEnd w:id="62"/>
    </w:p>
    <w:p w:rsidR="000171CB" w:rsidRDefault="000171CB" w:rsidP="000171CB">
      <w:r>
        <w:t>Lorsque le montant des prestations exécutées atteint le montant contractuel (marché initial ou dernier avenant), l’acheteur public peut prendre une décision de poursuivre les prestations au-delà de ce montant contractuel, notifiée au titulaire.</w:t>
      </w:r>
    </w:p>
    <w:p w:rsidR="000171CB" w:rsidRDefault="000171CB" w:rsidP="000171CB">
      <w:r>
        <w:t>Une décision de poursuivre n’est applicable que dans le cas d’une augmentation du volume des prestations figurant au marché et à la condition expresse qu’elles soient rémunérées conformément aux prix et selon les termes du marché.</w:t>
      </w:r>
    </w:p>
    <w:p w:rsidR="000171CB" w:rsidRDefault="000171CB" w:rsidP="000171CB">
      <w:r>
        <w:t xml:space="preserve">Cette décision n’est valable que si elle indique le montant limite jusqu’auquel les prestations doivent être poursuivies. </w:t>
      </w:r>
    </w:p>
    <w:p w:rsidR="000171CB" w:rsidRDefault="000171CB" w:rsidP="000171CB">
      <w:r>
        <w:t>Toute décision de poursuivre peut être suivie d’une autre décision de poursuivre, dans les mêmes conditions, et sous réserve du respect des seuils réglementaires d’augmentation du montant du marché.</w:t>
      </w:r>
    </w:p>
    <w:p w:rsidR="000171CB" w:rsidRDefault="000171CB" w:rsidP="000171CB">
      <w:r>
        <w:t>La décision de poursuivre est suffisante pour justifier les paiements correspondants. Elle peut être intégrée par un avenant signé des deux parties.</w:t>
      </w:r>
    </w:p>
    <w:p w:rsidR="000171CB" w:rsidRDefault="000171CB" w:rsidP="000171CB">
      <w:r>
        <w:br w:type="page"/>
      </w:r>
    </w:p>
    <w:p w:rsidR="006A5EE2" w:rsidRDefault="006A5EE2" w:rsidP="006A5EE2">
      <w:pPr>
        <w:pStyle w:val="0ENTETE"/>
      </w:pPr>
      <w:bookmarkStart w:id="63" w:name="_Toc60303299"/>
      <w:bookmarkStart w:id="64" w:name="_Toc60319509"/>
      <w:bookmarkEnd w:id="56"/>
      <w:bookmarkEnd w:id="57"/>
      <w:r>
        <w:t>ARTICLE 5  - DELAIS, PENALITES</w:t>
      </w:r>
      <w:bookmarkEnd w:id="63"/>
      <w:bookmarkEnd w:id="64"/>
    </w:p>
    <w:p w:rsidR="006A5EE2" w:rsidRDefault="006A5EE2" w:rsidP="006A5EE2">
      <w:pPr>
        <w:pStyle w:val="1NIV1"/>
      </w:pPr>
      <w:bookmarkStart w:id="65" w:name="_Toc56387529"/>
      <w:bookmarkStart w:id="66" w:name="_Toc60303301"/>
      <w:bookmarkStart w:id="67" w:name="_Toc60319510"/>
      <w:r>
        <w:t>5.1 - DELAIS D’EXECUTION</w:t>
      </w:r>
      <w:bookmarkEnd w:id="65"/>
      <w:bookmarkEnd w:id="67"/>
    </w:p>
    <w:p w:rsidR="006A5EE2" w:rsidRDefault="006A5EE2" w:rsidP="006A5EE2">
      <w:r>
        <w:t>Voir article 5 de l’acte d’engagement.</w:t>
      </w:r>
    </w:p>
    <w:p w:rsidR="006A5EE2" w:rsidRPr="00386F03" w:rsidRDefault="006A5EE2" w:rsidP="006A5EE2">
      <w:r>
        <w:t>Si après application du délai contractuel applicable, la date de fin dudit délai tombe sur un jour férié, chômé ou de week-end, le délai est prolongé jusqu’à la fin du premier jour ouvrable suivant.</w:t>
      </w:r>
    </w:p>
    <w:p w:rsidR="006A5EE2" w:rsidRDefault="006A5EE2" w:rsidP="006A5EE2">
      <w:pPr>
        <w:pStyle w:val="1NIV1"/>
      </w:pPr>
      <w:bookmarkStart w:id="68" w:name="_Toc60319511"/>
      <w:r>
        <w:t>5.2 – PROLONGATION DES DELAIS D’EXECUTION DES PRESTATIONS</w:t>
      </w:r>
      <w:bookmarkEnd w:id="66"/>
      <w:bookmarkEnd w:id="68"/>
    </w:p>
    <w:p w:rsidR="006A5EE2" w:rsidRDefault="006A5EE2" w:rsidP="006A5EE2">
      <w:r>
        <w:t>A chaque prolongation des délais, le motif de prolongation et le nombre de jours calendaires, ouvrés ou ouvrables doit être précisé, ainsi que la nouvelle date de fin contractuelle des délais d’exécution</w:t>
      </w:r>
      <w:r w:rsidRPr="00386F03">
        <w:t>.</w:t>
      </w:r>
    </w:p>
    <w:p w:rsidR="006A5EE2" w:rsidRDefault="006A5EE2" w:rsidP="006A5EE2">
      <w:r>
        <w:t>Si cette nouvelle date de fin tombe sur un jour férié, chômé ou de week-end, le délai est prolongé jusqu’à la fin du premier jour ouvrable suivant.</w:t>
      </w:r>
    </w:p>
    <w:p w:rsidR="006A5EE2" w:rsidRDefault="006A5EE2" w:rsidP="006A5EE2">
      <w:r>
        <w:t>Toute éventuelle prolongation de délai suivante doit repartir de cette nouvelle date de fin contractuelle.</w:t>
      </w:r>
    </w:p>
    <w:p w:rsidR="006A5EE2" w:rsidRPr="00386F03" w:rsidRDefault="006A5EE2" w:rsidP="006A5EE2">
      <w:r>
        <w:t>Si ces précisions n’ont pas été apportées lors des prolongations de délai successives, les principes ci-dessus sont appliqués à chaque prolongation séparément et dans l’ordre, pour arriver à la dernière date de fin contractuelle des délais d’exécution.</w:t>
      </w:r>
    </w:p>
    <w:p w:rsidR="006A5EE2" w:rsidRDefault="006A5EE2" w:rsidP="006A5EE2">
      <w:pPr>
        <w:pStyle w:val="1NIV1"/>
      </w:pPr>
      <w:bookmarkStart w:id="69" w:name="_Toc60303302"/>
      <w:bookmarkStart w:id="70" w:name="_Toc60319512"/>
      <w:r>
        <w:t>5.3 – PENALITES</w:t>
      </w:r>
      <w:bookmarkEnd w:id="69"/>
      <w:bookmarkEnd w:id="70"/>
    </w:p>
    <w:p w:rsidR="006A5EE2" w:rsidRDefault="006A5EE2" w:rsidP="006A5EE2">
      <w:bookmarkStart w:id="71" w:name="_Toc60303304"/>
      <w:r>
        <w:t>Les pénalités ne sont pas soumises à TGC.</w:t>
      </w:r>
    </w:p>
    <w:p w:rsidR="006A5EE2" w:rsidRDefault="006A5EE2" w:rsidP="006A5EE2">
      <w:pPr>
        <w:pStyle w:val="2NIV2"/>
      </w:pPr>
      <w:bookmarkStart w:id="72" w:name="_Toc60319513"/>
      <w:r>
        <w:t>5.3.1 – Retard d’exécution des prestations</w:t>
      </w:r>
      <w:bookmarkEnd w:id="71"/>
      <w:bookmarkEnd w:id="72"/>
    </w:p>
    <w:p w:rsidR="006A5EE2" w:rsidRDefault="00555941" w:rsidP="006A5EE2">
      <w:pPr>
        <w:pStyle w:val="NormalX"/>
      </w:pPr>
      <w:sdt>
        <w:sdtPr>
          <w:id w:val="430939192"/>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Sans objet.</w:t>
      </w:r>
    </w:p>
    <w:p w:rsidR="006A5EE2" w:rsidRDefault="00555941" w:rsidP="006A5EE2">
      <w:pPr>
        <w:pStyle w:val="NormalX"/>
      </w:pPr>
      <w:sdt>
        <w:sdtPr>
          <w:id w:val="1713845069"/>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En cas de retard d’exécution des prestations par rapport au délai d’exécution prescrit, le titulaire encourt, sans mise en demeure préalable, une pénalité égale à :</w:t>
      </w:r>
    </w:p>
    <w:p w:rsidR="006A5EE2" w:rsidRDefault="00555941" w:rsidP="006A5EE2">
      <w:sdt>
        <w:sdtPr>
          <w:id w:val="-2106721781"/>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1/3000è du montant du marché HT, par jour calendaire de retard.</w:t>
      </w:r>
    </w:p>
    <w:p w:rsidR="006A5EE2" w:rsidRDefault="00555941" w:rsidP="006A5EE2">
      <w:sdt>
        <w:sdtPr>
          <w:id w:val="655579897"/>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w:t>
      </w:r>
      <w:r w:rsidR="006A5EE2" w:rsidRPr="00CF4AE5">
        <w:rPr>
          <w:color w:val="0070C0"/>
        </w:rPr>
        <w:t xml:space="preserve">50 000 </w:t>
      </w:r>
      <w:r w:rsidR="006A5EE2">
        <w:t>F par jour calendaire de retard.</w:t>
      </w:r>
    </w:p>
    <w:p w:rsidR="00CF4AE5" w:rsidRDefault="00CF4AE5" w:rsidP="00CF4AE5">
      <w:bookmarkStart w:id="73" w:name="_Toc60303305"/>
      <w:r w:rsidRPr="007C4D15">
        <w:t xml:space="preserve">Pour l’application du présent article en cas de marché </w:t>
      </w:r>
      <w:r>
        <w:t>précisant les délais propres à des prestations, des</w:t>
      </w:r>
      <w:r w:rsidRPr="007C4D15">
        <w:t xml:space="preserve"> tranches ou </w:t>
      </w:r>
      <w:r>
        <w:t>des</w:t>
      </w:r>
      <w:r w:rsidRPr="007C4D15">
        <w:t xml:space="preserve"> options, le délai </w:t>
      </w:r>
      <w:r>
        <w:t xml:space="preserve">d’exécution </w:t>
      </w:r>
      <w:r w:rsidRPr="007C4D15">
        <w:t xml:space="preserve">est le délai propre à la </w:t>
      </w:r>
      <w:r>
        <w:t xml:space="preserve">prestation, la </w:t>
      </w:r>
      <w:r w:rsidRPr="007C4D15">
        <w:t xml:space="preserve">tranche ou l’option considérée et le montant du marché est celui qui est propre à cette </w:t>
      </w:r>
      <w:r>
        <w:t xml:space="preserve">prestation, cette </w:t>
      </w:r>
      <w:r w:rsidRPr="007C4D15">
        <w:t>tranche ou cette option.</w:t>
      </w:r>
    </w:p>
    <w:p w:rsidR="006A5EE2" w:rsidRDefault="006A5EE2" w:rsidP="006A5EE2">
      <w:pPr>
        <w:pStyle w:val="2NIV2"/>
      </w:pPr>
      <w:bookmarkStart w:id="74" w:name="_Toc60319514"/>
      <w:r>
        <w:t>5.3.2</w:t>
      </w:r>
      <w:r w:rsidRPr="007B74E4">
        <w:t xml:space="preserve"> – </w:t>
      </w:r>
      <w:bookmarkEnd w:id="73"/>
      <w:r>
        <w:t>Délais particuliers</w:t>
      </w:r>
      <w:bookmarkEnd w:id="74"/>
    </w:p>
    <w:p w:rsidR="00555941" w:rsidRDefault="00555941" w:rsidP="00555941">
      <w:pPr>
        <w:pStyle w:val="NormalX"/>
      </w:pPr>
      <w:sdt>
        <w:sdtPr>
          <w:id w:val="-514006135"/>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Sans objet.</w:t>
      </w:r>
    </w:p>
    <w:p w:rsidR="006A5EE2" w:rsidRDefault="00555941" w:rsidP="00555941">
      <w:pPr>
        <w:pStyle w:val="NormalX"/>
      </w:pPr>
      <w:sdt>
        <w:sdtPr>
          <w:id w:val="1583567465"/>
          <w14:checkbox>
            <w14:checked w14:val="0"/>
            <w14:checkedState w14:val="2612" w14:font="MS Gothic"/>
            <w14:uncheckedState w14:val="2610" w14:font="MS Gothic"/>
          </w14:checkbox>
        </w:sdtPr>
        <w:sdtContent>
          <w:r w:rsidRPr="001E1B5D">
            <w:rPr>
              <w:rFonts w:eastAsia="MS Gothic" w:hint="eastAsia"/>
            </w:rPr>
            <w:t>☐</w:t>
          </w:r>
        </w:sdtContent>
      </w:sdt>
      <w:r w:rsidRPr="001E1B5D">
        <w:t xml:space="preserve"> </w:t>
      </w:r>
      <w:r w:rsidR="006A5EE2">
        <w:t>Liste des délais particuliers et pénalités associées à appliquer sans mise en demeure préalable :</w:t>
      </w:r>
    </w:p>
    <w:p w:rsidR="006A5EE2" w:rsidRDefault="006A5EE2" w:rsidP="006A5EE2">
      <w:pPr>
        <w:pStyle w:val="Listenormale"/>
        <w:rPr>
          <w:color w:val="0070C0"/>
        </w:rPr>
      </w:pPr>
      <w:r>
        <w:rPr>
          <w:color w:val="0070C0"/>
        </w:rPr>
        <w:t>absence</w:t>
      </w:r>
      <w:r w:rsidRPr="00822DB7">
        <w:rPr>
          <w:color w:val="0070C0"/>
        </w:rPr>
        <w:t xml:space="preserve"> à une réunion à laquelle a été convoqué le titulaire</w:t>
      </w:r>
      <w:r>
        <w:rPr>
          <w:color w:val="0070C0"/>
        </w:rPr>
        <w:t> : 50.</w:t>
      </w:r>
      <w:r w:rsidRPr="00822DB7">
        <w:rPr>
          <w:color w:val="0070C0"/>
        </w:rPr>
        <w:t> </w:t>
      </w:r>
      <w:r>
        <w:rPr>
          <w:color w:val="0070C0"/>
        </w:rPr>
        <w:t>000 F ;</w:t>
      </w:r>
    </w:p>
    <w:p w:rsidR="006A5EE2" w:rsidRPr="00822DB7" w:rsidRDefault="006A5EE2" w:rsidP="006A5EE2">
      <w:pPr>
        <w:pStyle w:val="Listenormale"/>
        <w:rPr>
          <w:color w:val="0070C0"/>
        </w:rPr>
      </w:pPr>
      <w:r>
        <w:rPr>
          <w:color w:val="0070C0"/>
        </w:rPr>
        <w:t xml:space="preserve">retard de plus de 30 mn à une réunion à laquelle a été convoqué le titulaire : 20 000 F </w:t>
      </w:r>
      <w:r w:rsidRPr="00822DB7">
        <w:rPr>
          <w:color w:val="0070C0"/>
        </w:rPr>
        <w:t>;</w:t>
      </w:r>
    </w:p>
    <w:p w:rsidR="006A5EE2" w:rsidRPr="00822DB7" w:rsidRDefault="006A5EE2" w:rsidP="006A5EE2">
      <w:pPr>
        <w:pStyle w:val="Listenormale"/>
        <w:rPr>
          <w:color w:val="0070C0"/>
        </w:rPr>
      </w:pPr>
      <w:r>
        <w:rPr>
          <w:color w:val="0070C0"/>
        </w:rPr>
        <w:t xml:space="preserve">action corrective demandée par ordre de service (délai minimal 3 jours ouvrés, sauf urgence délai minimal 1 jour ouvré) : 10 000 F </w:t>
      </w:r>
      <w:r w:rsidRPr="00822DB7">
        <w:rPr>
          <w:color w:val="0070C0"/>
        </w:rPr>
        <w:t>.</w:t>
      </w:r>
      <w:r>
        <w:rPr>
          <w:color w:val="0070C0"/>
        </w:rPr>
        <w:t>par jour de retard.</w:t>
      </w:r>
    </w:p>
    <w:p w:rsidR="006A5EE2" w:rsidRPr="007B74E4" w:rsidRDefault="006A5EE2" w:rsidP="006A5EE2">
      <w:pPr>
        <w:pStyle w:val="2NIV2"/>
      </w:pPr>
      <w:bookmarkStart w:id="75" w:name="_Toc60319515"/>
      <w:r>
        <w:t>5.3.3</w:t>
      </w:r>
      <w:r w:rsidRPr="007B74E4">
        <w:t xml:space="preserve"> – Autres pénalités</w:t>
      </w:r>
      <w:bookmarkEnd w:id="75"/>
    </w:p>
    <w:p w:rsidR="00555941" w:rsidRDefault="00555941" w:rsidP="00555941">
      <w:pPr>
        <w:pStyle w:val="NormalX"/>
      </w:pPr>
      <w:sdt>
        <w:sdtPr>
          <w:id w:val="-947622160"/>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Sans objet.</w:t>
      </w:r>
    </w:p>
    <w:p w:rsidR="006A5EE2" w:rsidRDefault="00555941" w:rsidP="00555941">
      <w:pPr>
        <w:pStyle w:val="NormalX"/>
      </w:pPr>
      <w:sdt>
        <w:sdtPr>
          <w:id w:val="1253858921"/>
          <w14:checkbox>
            <w14:checked w14:val="0"/>
            <w14:checkedState w14:val="2612" w14:font="MS Gothic"/>
            <w14:uncheckedState w14:val="2610" w14:font="MS Gothic"/>
          </w14:checkbox>
        </w:sdtPr>
        <w:sdtContent>
          <w:r w:rsidRPr="001E1B5D">
            <w:rPr>
              <w:rFonts w:eastAsia="MS Gothic" w:hint="eastAsia"/>
            </w:rPr>
            <w:t>☐</w:t>
          </w:r>
        </w:sdtContent>
      </w:sdt>
      <w:r w:rsidRPr="001E1B5D">
        <w:t xml:space="preserve"> </w:t>
      </w:r>
      <w:r w:rsidR="006A5EE2" w:rsidRPr="007B74E4">
        <w:t xml:space="preserve">Pour tout délai précisé </w:t>
      </w:r>
      <w:r w:rsidR="006A5EE2">
        <w:t>conformément aux dispositions du</w:t>
      </w:r>
      <w:r w:rsidR="006A5EE2" w:rsidRPr="007B74E4">
        <w:t xml:space="preserve"> marché</w:t>
      </w:r>
      <w:r w:rsidR="006A5EE2">
        <w:t xml:space="preserve">, </w:t>
      </w:r>
      <w:r w:rsidR="006A5EE2" w:rsidRPr="007B74E4">
        <w:t>autre</w:t>
      </w:r>
      <w:r w:rsidR="006A5EE2">
        <w:t>s</w:t>
      </w:r>
      <w:r w:rsidR="006A5EE2" w:rsidRPr="007B74E4">
        <w:t xml:space="preserve"> que le</w:t>
      </w:r>
      <w:r w:rsidR="006A5EE2">
        <w:t xml:space="preserve">s délais d’exécution des prestations et les délais particuliers ci-dessus, </w:t>
      </w:r>
      <w:r w:rsidR="006A5EE2" w:rsidRPr="007B74E4">
        <w:t xml:space="preserve">le retard d’exécution entraîne l’application d’une pénalité de : </w:t>
      </w:r>
      <w:r w:rsidR="006A5EE2" w:rsidRPr="008D4D8C">
        <w:rPr>
          <w:color w:val="0070C0"/>
        </w:rPr>
        <w:t xml:space="preserve">10 000 </w:t>
      </w:r>
      <w:r w:rsidR="006A5EE2" w:rsidRPr="007B74E4">
        <w:t>FCFP par jour calendaire de retard</w:t>
      </w:r>
      <w:r w:rsidR="006A5EE2">
        <w:t>, sans mise en demeure préalable</w:t>
      </w:r>
      <w:r w:rsidR="006A5EE2" w:rsidRPr="007B74E4">
        <w:t>.</w:t>
      </w:r>
    </w:p>
    <w:p w:rsidR="006A5EE2" w:rsidRPr="007B74E4" w:rsidRDefault="006A5EE2" w:rsidP="006A5EE2">
      <w:pPr>
        <w:pStyle w:val="2NIV2"/>
      </w:pPr>
      <w:bookmarkStart w:id="76" w:name="_Toc60303306"/>
      <w:bookmarkStart w:id="77" w:name="_Toc60319516"/>
      <w:r>
        <w:t>5.3.4</w:t>
      </w:r>
      <w:r w:rsidRPr="007B74E4">
        <w:t xml:space="preserve"> – Plafonnement des pénalités</w:t>
      </w:r>
      <w:bookmarkEnd w:id="76"/>
      <w:bookmarkEnd w:id="77"/>
    </w:p>
    <w:p w:rsidR="006A5EE2" w:rsidRDefault="00555941" w:rsidP="006A5EE2">
      <w:pPr>
        <w:pStyle w:val="NormalX"/>
      </w:pPr>
      <w:sdt>
        <w:sdtPr>
          <w:id w:val="79110212"/>
          <w14:checkbox>
            <w14:checked w14:val="0"/>
            <w14:checkedState w14:val="2612" w14:font="MS Gothic"/>
            <w14:uncheckedState w14:val="2610" w14:font="MS Gothic"/>
          </w14:checkbox>
        </w:sdtPr>
        <w:sdtEndPr/>
        <w:sdtContent>
          <w:r w:rsidR="006A5EE2" w:rsidRPr="001E1B5D">
            <w:rPr>
              <w:rFonts w:ascii="MS Gothic" w:eastAsia="MS Gothic" w:hAnsi="MS Gothic" w:cs="MS Gothic" w:hint="eastAsia"/>
            </w:rPr>
            <w:t>☐</w:t>
          </w:r>
        </w:sdtContent>
      </w:sdt>
      <w:r w:rsidR="006A5EE2">
        <w:t xml:space="preserve"> Sans objet.</w:t>
      </w:r>
    </w:p>
    <w:p w:rsidR="006A5EE2" w:rsidRDefault="00555941" w:rsidP="006A5EE2">
      <w:pPr>
        <w:pStyle w:val="NormalX"/>
      </w:pPr>
      <w:sdt>
        <w:sdtPr>
          <w:id w:val="1110092180"/>
          <w14:checkbox>
            <w14:checked w14:val="0"/>
            <w14:checkedState w14:val="2612" w14:font="MS Gothic"/>
            <w14:uncheckedState w14:val="2610" w14:font="MS Gothic"/>
          </w14:checkbox>
        </w:sdtPr>
        <w:sdtEndPr/>
        <w:sdtContent>
          <w:r w:rsidR="006A5EE2" w:rsidRPr="001E1B5D">
            <w:rPr>
              <w:rFonts w:eastAsia="MS Gothic" w:hint="eastAsia"/>
            </w:rPr>
            <w:t>☐</w:t>
          </w:r>
        </w:sdtContent>
      </w:sdt>
      <w:r w:rsidR="006A5EE2" w:rsidRPr="001E1B5D">
        <w:t xml:space="preserve"> </w:t>
      </w:r>
      <w:r w:rsidR="006A5EE2">
        <w:t>Les pénalités</w:t>
      </w:r>
      <w:r w:rsidR="006A5EE2" w:rsidRPr="007B74E4">
        <w:t xml:space="preserve"> applicables </w:t>
      </w:r>
      <w:r w:rsidR="006A5EE2">
        <w:t>au retard d’exécution des prestations sont</w:t>
      </w:r>
      <w:r w:rsidR="006A5EE2" w:rsidRPr="007B74E4">
        <w:t xml:space="preserve"> plafonnée</w:t>
      </w:r>
      <w:r w:rsidR="006A5EE2">
        <w:t>s</w:t>
      </w:r>
      <w:r w:rsidR="006A5EE2" w:rsidRPr="007B74E4">
        <w:t xml:space="preserve"> à : </w:t>
      </w:r>
      <w:r w:rsidR="006A5EE2" w:rsidRPr="008D4D8C">
        <w:rPr>
          <w:color w:val="0070C0"/>
        </w:rPr>
        <w:t>10</w:t>
      </w:r>
      <w:r w:rsidR="006A5EE2">
        <w:t xml:space="preserve"> % du montant HT du marché</w:t>
      </w:r>
      <w:r w:rsidR="006A5EE2" w:rsidRPr="007B74E4">
        <w:t>.</w:t>
      </w:r>
    </w:p>
    <w:p w:rsidR="006A5EE2" w:rsidRDefault="00555941" w:rsidP="006A5EE2">
      <w:pPr>
        <w:pStyle w:val="NormalX"/>
      </w:pPr>
      <w:sdt>
        <w:sdtPr>
          <w:id w:val="-596940804"/>
          <w14:checkbox>
            <w14:checked w14:val="0"/>
            <w14:checkedState w14:val="2612" w14:font="MS Gothic"/>
            <w14:uncheckedState w14:val="2610" w14:font="MS Gothic"/>
          </w14:checkbox>
        </w:sdtPr>
        <w:sdtEndPr/>
        <w:sdtContent>
          <w:r w:rsidR="006A5EE2">
            <w:rPr>
              <w:rFonts w:ascii="MS Gothic" w:eastAsia="MS Gothic" w:hAnsi="MS Gothic" w:hint="eastAsia"/>
            </w:rPr>
            <w:t>☐</w:t>
          </w:r>
        </w:sdtContent>
      </w:sdt>
      <w:r w:rsidR="006A5EE2" w:rsidRPr="001E1B5D">
        <w:t xml:space="preserve"> </w:t>
      </w:r>
      <w:r w:rsidR="006A5EE2">
        <w:t>Les éventuelles pénalités</w:t>
      </w:r>
      <w:r w:rsidR="006A5EE2" w:rsidRPr="007B74E4">
        <w:t xml:space="preserve"> </w:t>
      </w:r>
      <w:r w:rsidR="006A5EE2">
        <w:t xml:space="preserve">autres que celles relatives au retard d’exécution des prestations du marché, sont </w:t>
      </w:r>
      <w:r w:rsidR="006A5EE2" w:rsidRPr="007B74E4">
        <w:t>plafonnée</w:t>
      </w:r>
      <w:r w:rsidR="006A5EE2">
        <w:t>s</w:t>
      </w:r>
      <w:r w:rsidR="006A5EE2" w:rsidRPr="007B74E4">
        <w:t xml:space="preserve"> à </w:t>
      </w:r>
      <w:r w:rsidR="006A5EE2" w:rsidRPr="008D4D8C">
        <w:rPr>
          <w:color w:val="0070C0"/>
        </w:rPr>
        <w:t>50.000</w:t>
      </w:r>
      <w:r w:rsidR="006A5EE2" w:rsidRPr="008D4D8C">
        <w:t xml:space="preserve"> FCFP</w:t>
      </w:r>
      <w:r w:rsidR="006A5EE2" w:rsidRPr="008D4D8C">
        <w:rPr>
          <w:color w:val="0070C0"/>
        </w:rPr>
        <w:t xml:space="preserve"> </w:t>
      </w:r>
      <w:r w:rsidR="006A5EE2">
        <w:t>pour chaque instance de délai.</w:t>
      </w:r>
    </w:p>
    <w:p w:rsidR="006A5EE2" w:rsidRPr="007B74E4" w:rsidRDefault="006A5EE2" w:rsidP="006A5EE2">
      <w:pPr>
        <w:pStyle w:val="2NIV2"/>
      </w:pPr>
      <w:bookmarkStart w:id="78" w:name="_Toc60303307"/>
      <w:bookmarkStart w:id="79" w:name="_Toc60319517"/>
      <w:r>
        <w:t>5.3.5</w:t>
      </w:r>
      <w:r w:rsidRPr="007B74E4">
        <w:t xml:space="preserve"> – </w:t>
      </w:r>
      <w:r>
        <w:t>Modalités en cas de groupement</w:t>
      </w:r>
      <w:bookmarkEnd w:id="78"/>
      <w:bookmarkEnd w:id="79"/>
    </w:p>
    <w:p w:rsidR="00555941" w:rsidRDefault="00555941" w:rsidP="00555941">
      <w:pPr>
        <w:pStyle w:val="NormalX"/>
      </w:pPr>
      <w:sdt>
        <w:sdtPr>
          <w:id w:val="-522777816"/>
          <w14:checkbox>
            <w14:checked w14:val="0"/>
            <w14:checkedState w14:val="2612" w14:font="MS Gothic"/>
            <w14:uncheckedState w14:val="2610" w14:font="MS Gothic"/>
          </w14:checkbox>
        </w:sdtPr>
        <w:sdtContent>
          <w:r w:rsidRPr="001E1B5D">
            <w:rPr>
              <w:rFonts w:ascii="MS Gothic" w:eastAsia="MS Gothic" w:hAnsi="MS Gothic" w:cs="MS Gothic" w:hint="eastAsia"/>
            </w:rPr>
            <w:t>☐</w:t>
          </w:r>
        </w:sdtContent>
      </w:sdt>
      <w:r>
        <w:t xml:space="preserve"> Sans objet.</w:t>
      </w:r>
    </w:p>
    <w:p w:rsidR="006A5EE2" w:rsidRDefault="00555941" w:rsidP="00555941">
      <w:pPr>
        <w:pStyle w:val="NormalX"/>
      </w:pPr>
      <w:sdt>
        <w:sdtPr>
          <w:id w:val="1186102631"/>
          <w14:checkbox>
            <w14:checked w14:val="0"/>
            <w14:checkedState w14:val="2612" w14:font="MS Gothic"/>
            <w14:uncheckedState w14:val="2610" w14:font="MS Gothic"/>
          </w14:checkbox>
        </w:sdtPr>
        <w:sdtContent>
          <w:r w:rsidRPr="001E1B5D">
            <w:rPr>
              <w:rFonts w:eastAsia="MS Gothic" w:hint="eastAsia"/>
            </w:rPr>
            <w:t>☐</w:t>
          </w:r>
        </w:sdtContent>
      </w:sdt>
      <w:r w:rsidRPr="001E1B5D">
        <w:t xml:space="preserve"> </w:t>
      </w:r>
      <w:r w:rsidR="006A5EE2">
        <w:t>En cas de groupement solidaire sans répartition de montant entre les cotraitants, c’est le mandataire, en tant que chargé de la coordination du groupement, qui assume toutes les pénalités applicables au titre du marché sur les sommes qui lui sont dues.</w:t>
      </w:r>
    </w:p>
    <w:p w:rsidR="006A5EE2" w:rsidRDefault="006A5EE2" w:rsidP="006A5EE2">
      <w:r>
        <w:t>En cas de groupement solidaire avec répartition de montant entre les cotraitants, les pénalités sont réparties sur l’ensemble des membres du groupement, au prorata des sommes qui leur sont dues, sauf si le mandataire indique une répartition différente. En cas de difficulté liée aux arrondis, la part applicable au mandataire est déterminée en soustrayant des pénalités applicables au groupement, la part applicable à chaque cotraitant non mandataire.</w:t>
      </w:r>
    </w:p>
    <w:p w:rsidR="006A5EE2" w:rsidRDefault="006A5EE2" w:rsidP="006A5EE2">
      <w:r>
        <w:t>En cas de groupement conjoint, les pénalités sont réparties entre les cotraitants conformément aux indications données par le mandataire. Dans l’attente de ces indications, les pénalités sont retenues en totalité au mandataire, sans que cette opération n’engage la responsabilité de l’acheteur public à l’égard des autres cotraitants.</w:t>
      </w:r>
    </w:p>
    <w:p w:rsidR="006A5EE2" w:rsidRDefault="006A5EE2" w:rsidP="006A5EE2">
      <w:pPr>
        <w:pStyle w:val="NormalX"/>
      </w:pPr>
    </w:p>
    <w:p w:rsidR="00DC2EF5" w:rsidRDefault="00DC2EF5">
      <w:pPr>
        <w:overflowPunct/>
        <w:autoSpaceDE/>
        <w:autoSpaceDN/>
        <w:adjustRightInd/>
        <w:spacing w:before="0" w:after="0"/>
        <w:ind w:left="0"/>
        <w:jc w:val="left"/>
        <w:textAlignment w:val="auto"/>
      </w:pPr>
      <w:r>
        <w:br w:type="page"/>
      </w:r>
    </w:p>
    <w:p w:rsidR="00386F03" w:rsidRPr="00386F03" w:rsidRDefault="00386F03" w:rsidP="00386F03">
      <w:pPr>
        <w:pStyle w:val="0ENTETE"/>
      </w:pPr>
      <w:bookmarkStart w:id="80" w:name="_Toc60319518"/>
      <w:r w:rsidRPr="00386F03">
        <w:t xml:space="preserve">ARTICLE 6 -  </w:t>
      </w:r>
      <w:r w:rsidR="003E211F">
        <w:t>RECEPTION</w:t>
      </w:r>
      <w:bookmarkEnd w:id="80"/>
    </w:p>
    <w:p w:rsidR="00380672" w:rsidRDefault="009034D5" w:rsidP="009034D5">
      <w:r>
        <w:t>La réception des travaux se fait suivant les modalités suivantes</w:t>
      </w:r>
      <w:r w:rsidR="00380672">
        <w:t>.</w:t>
      </w:r>
    </w:p>
    <w:p w:rsidR="00380672" w:rsidRDefault="00380672" w:rsidP="00380672">
      <w:r>
        <w:t>Si le CCAG travaux est applicable au présent marché, l</w:t>
      </w:r>
      <w:r w:rsidRPr="009034D5">
        <w:t>es dispositions de</w:t>
      </w:r>
      <w:r>
        <w:t xml:space="preserve"> se</w:t>
      </w:r>
      <w:r w:rsidRPr="009034D5">
        <w:t>s articles 40 et 41</w:t>
      </w:r>
      <w:r>
        <w:t xml:space="preserve"> </w:t>
      </w:r>
      <w:r w:rsidRPr="009034D5">
        <w:t>sont applicables</w:t>
      </w:r>
      <w:r>
        <w:t xml:space="preserve"> et sont précisées par les dispositions ci-après.</w:t>
      </w:r>
    </w:p>
    <w:p w:rsidR="009034D5" w:rsidRDefault="00380672" w:rsidP="00380672">
      <w:pPr>
        <w:pStyle w:val="1NIV1"/>
      </w:pPr>
      <w:bookmarkStart w:id="81" w:name="_Toc60319519"/>
      <w:r>
        <w:t>6.1 - LETTRE DE L’ENTREPRENEUR</w:t>
      </w:r>
      <w:bookmarkEnd w:id="81"/>
    </w:p>
    <w:p w:rsidR="009034D5" w:rsidRDefault="009034D5" w:rsidP="009034D5">
      <w:r>
        <w:t>La procédure de réception est déclenchée par l’entreprise qui informe par écrit la personne responsable du marché (PRM) et le maître d’œuvre (MOE) de la date réelle de fin de travaux.</w:t>
      </w:r>
    </w:p>
    <w:p w:rsidR="009034D5" w:rsidRDefault="009034D5" w:rsidP="009034D5">
      <w:r>
        <w:t>L’indication d’une date postérieure à la date contractuelle, emporte déclaration implicite de retard et entraîne l’application automatique des pénalités de retard prévues au marché.</w:t>
      </w:r>
    </w:p>
    <w:p w:rsidR="009034D5" w:rsidRDefault="00380672" w:rsidP="00380672">
      <w:pPr>
        <w:pStyle w:val="1NIV1"/>
      </w:pPr>
      <w:bookmarkStart w:id="82" w:name="_Toc60319520"/>
      <w:r>
        <w:t>6.2 - OPERATIONS PREALABLES A LA RECEPTION (OPR) :</w:t>
      </w:r>
      <w:bookmarkEnd w:id="82"/>
    </w:p>
    <w:p w:rsidR="009034D5" w:rsidRDefault="009034D5" w:rsidP="009034D5">
      <w:r>
        <w:t>Le MOE a un délai de 20 jours pour procéder aux opérations préalables à la réception (OPR), à compter de la réception de la lettre de l’entreprise (si elle est postérieure à la date annoncée de fin de travaux) ou de la date de fin de travaux (si cette lettre est antérieure à la date annoncée de fin des travaux).</w:t>
      </w:r>
    </w:p>
    <w:p w:rsidR="009034D5" w:rsidRDefault="009034D5" w:rsidP="009034D5">
      <w:r>
        <w:t>Il s’agit d’un constat contradictoire sous forme de procès-verbal (PV) entre l’entreprise et le MOE comprenant en annexes :</w:t>
      </w:r>
    </w:p>
    <w:p w:rsidR="009034D5" w:rsidRDefault="009034D5" w:rsidP="009034D5">
      <w:pPr>
        <w:pStyle w:val="Listenormale"/>
      </w:pPr>
      <w:r>
        <w:t>les épreuves non réalisées et non concluantes prévues au marché,</w:t>
      </w:r>
    </w:p>
    <w:p w:rsidR="009034D5" w:rsidRDefault="009034D5" w:rsidP="009034D5">
      <w:pPr>
        <w:pStyle w:val="Listenormale"/>
      </w:pPr>
      <w:r>
        <w:t>les prestations non réalisées prévues au marché,</w:t>
      </w:r>
    </w:p>
    <w:p w:rsidR="009034D5" w:rsidRDefault="009034D5" w:rsidP="009034D5">
      <w:pPr>
        <w:pStyle w:val="Listenormale"/>
      </w:pPr>
      <w:r>
        <w:t>les imperfections et malfaçons,</w:t>
      </w:r>
    </w:p>
    <w:p w:rsidR="009034D5" w:rsidRDefault="009034D5" w:rsidP="009034D5">
      <w:pPr>
        <w:pStyle w:val="Listenormale"/>
      </w:pPr>
      <w:r>
        <w:t>la remise en état des lieux et la propreté du chantier.</w:t>
      </w:r>
    </w:p>
    <w:p w:rsidR="009034D5" w:rsidRDefault="009034D5" w:rsidP="009034D5">
      <w:r>
        <w:t>Ce PV, ainsi que ses annexes, doivent impérativement être remplis sur place, de manière manuscrite, et signés par l’entreprise et le MOE.</w:t>
      </w:r>
    </w:p>
    <w:p w:rsidR="009034D5" w:rsidRDefault="00380672" w:rsidP="00380672">
      <w:pPr>
        <w:pStyle w:val="1NIV1"/>
      </w:pPr>
      <w:bookmarkStart w:id="83" w:name="_Toc60319521"/>
      <w:r>
        <w:t>6.3 - PROPOSITION DU MOE</w:t>
      </w:r>
      <w:bookmarkEnd w:id="83"/>
    </w:p>
    <w:p w:rsidR="009034D5" w:rsidRDefault="009034D5" w:rsidP="009034D5">
      <w:r>
        <w:t>Le constat des OPR conduit à une proposition du MOE à la PRM de réceptionner, ne pas réceptionner, ou réceptionner avec réserves, ces « réserves » étant constituées par les points listés dans les annexes ci-dessus.</w:t>
      </w:r>
    </w:p>
    <w:p w:rsidR="009034D5" w:rsidRDefault="009034D5" w:rsidP="009034D5">
      <w:r>
        <w:t>Cette proposition doit être formulée dans les 5 jours, et l’entreprise doit en recevoir copie.</w:t>
      </w:r>
    </w:p>
    <w:p w:rsidR="009034D5" w:rsidRDefault="00380672" w:rsidP="00380672">
      <w:pPr>
        <w:pStyle w:val="1NIV1"/>
      </w:pPr>
      <w:bookmarkStart w:id="84" w:name="_Toc60319522"/>
      <w:r>
        <w:t>6.4 - DECISION DE LA PRM</w:t>
      </w:r>
      <w:bookmarkEnd w:id="84"/>
    </w:p>
    <w:p w:rsidR="000E16F9" w:rsidRDefault="009034D5" w:rsidP="009034D5">
      <w:r>
        <w:t>Suite à la proposition du MOE, intervient la décision de la PRM, qui fixe, si celle-ci décide de réceptionner, l</w:t>
      </w:r>
      <w:r w:rsidR="000E16F9">
        <w:t>a date d’effet de la réception.</w:t>
      </w:r>
    </w:p>
    <w:p w:rsidR="009034D5" w:rsidRDefault="009034D5" w:rsidP="009034D5">
      <w:r>
        <w:t>Si aucune décision de la PRM n’est notifiée à l’entreprise dans les 45 jours suivant le PV des OPR, les propositions du MOE, telles qu’elles sont formulées, et dont l’entreprise a reçu copie, sont considérées comme acceptées.</w:t>
      </w:r>
    </w:p>
    <w:p w:rsidR="000E16F9" w:rsidRDefault="00380672" w:rsidP="00380672">
      <w:pPr>
        <w:pStyle w:val="1NIV1"/>
      </w:pPr>
      <w:bookmarkStart w:id="85" w:name="_Toc60319523"/>
      <w:r>
        <w:t>6.5 - RECEPTION</w:t>
      </w:r>
      <w:bookmarkEnd w:id="85"/>
    </w:p>
    <w:p w:rsidR="000E16F9" w:rsidRPr="00C43BF4" w:rsidRDefault="000E16F9" w:rsidP="000E16F9">
      <w:r>
        <w:t>L</w:t>
      </w:r>
      <w:r w:rsidRPr="00C43BF4">
        <w:t>ors de la réception, la propriété de l’ouvrage est transférée de l’entreprise au maître d’ouvrage (MOA). Ce transfert de propriété s’accompagne d’un transfert de responsabilités (notamment au niveau de l’entretien de l’ouvrage et de sa garde).</w:t>
      </w:r>
    </w:p>
    <w:p w:rsidR="000E16F9" w:rsidRPr="00C43BF4" w:rsidRDefault="000E16F9" w:rsidP="000E16F9">
      <w:r w:rsidRPr="00C43BF4">
        <w:t>Pour réceptionner un ouvrage, celui-ci doit donc impérativement être utilisable conformément à sa destination. Les utilisateurs doivent pouvoir en prendre possession et l</w:t>
      </w:r>
      <w:r>
        <w:t>’</w:t>
      </w:r>
      <w:r w:rsidRPr="00C43BF4">
        <w:t>utiliser dans toutes les conditions normales de confort et de sécurité.</w:t>
      </w:r>
    </w:p>
    <w:p w:rsidR="000E16F9" w:rsidRPr="007506E7" w:rsidRDefault="000E16F9" w:rsidP="000E16F9">
      <w:r w:rsidRPr="007506E7">
        <w:t>Toute réserve (prestation non exécutée, imperfection, malfaçon) s</w:t>
      </w:r>
      <w:r>
        <w:t>’</w:t>
      </w:r>
      <w:r w:rsidRPr="007506E7">
        <w:t>opposant à une utilisation conforme à la destination de l</w:t>
      </w:r>
      <w:r>
        <w:t>’</w:t>
      </w:r>
      <w:r w:rsidRPr="007506E7">
        <w:t>ouvrage, doit conduire à refuser la réception.</w:t>
      </w:r>
    </w:p>
    <w:p w:rsidR="000E16F9" w:rsidRPr="000E16F9" w:rsidRDefault="000E16F9" w:rsidP="000E16F9">
      <w:r w:rsidRPr="000E16F9">
        <w:t>Exemple : réseaux d’assainissement, systèmes de sécurité incendie non opérationnels.</w:t>
      </w:r>
    </w:p>
    <w:p w:rsidR="000E16F9" w:rsidRPr="00C43BF4" w:rsidRDefault="000E16F9" w:rsidP="000E16F9">
      <w:r w:rsidRPr="00C43BF4">
        <w:t>La date de réception marque le début de l’année de garantie (pendant laquelle l’entreprise est tenue à une obligation de parfait achèvement), et de la responsabilité décennale</w:t>
      </w:r>
      <w:r w:rsidR="00380672">
        <w:t xml:space="preserve"> s’il y a lieu</w:t>
      </w:r>
      <w:r w:rsidRPr="00C43BF4">
        <w:t>.</w:t>
      </w:r>
    </w:p>
    <w:p w:rsidR="000E16F9" w:rsidRDefault="00380672" w:rsidP="00380672">
      <w:pPr>
        <w:pStyle w:val="1NIV1"/>
      </w:pPr>
      <w:bookmarkStart w:id="86" w:name="_Toc60319524"/>
      <w:r>
        <w:t>6.6 – RESERVES DE LA RECEPTION</w:t>
      </w:r>
      <w:bookmarkEnd w:id="86"/>
    </w:p>
    <w:p w:rsidR="000E16F9" w:rsidRDefault="000E16F9" w:rsidP="000E16F9">
      <w:r>
        <w:t>Dans le cas d’une réception avec réserve, à compter de la date de réception, l’entreprise doit « lever les réserves » mentionnées dans le PV des OPR dans le délai fixé par le MOE ou le MOA.</w:t>
      </w:r>
    </w:p>
    <w:p w:rsidR="000E16F9" w:rsidRDefault="000E16F9" w:rsidP="000E16F9">
      <w:r>
        <w:t>Ce délai ne peut dépasser, à compter de la date d’effet de la réception :</w:t>
      </w:r>
    </w:p>
    <w:p w:rsidR="000E16F9" w:rsidRDefault="000E16F9" w:rsidP="000E16F9">
      <w:r>
        <w:t>-</w:t>
      </w:r>
      <w:r>
        <w:tab/>
        <w:t>3 mois en ce qui concerne la réalisation des prestations non exécutées,</w:t>
      </w:r>
    </w:p>
    <w:p w:rsidR="000E16F9" w:rsidRDefault="000E16F9" w:rsidP="000E16F9">
      <w:r>
        <w:t>-</w:t>
      </w:r>
      <w:r>
        <w:tab/>
        <w:t>9 mois pour la reprise des imperfections et malfaçons.</w:t>
      </w:r>
    </w:p>
    <w:p w:rsidR="000E16F9" w:rsidRDefault="000E16F9" w:rsidP="000E16F9">
      <w:r>
        <w:t>Si l’entreprise ne lève pas les réserves dans les délais prescrits, le MOA peut utiliser ses garanties financières pour faire exécuter les travaux par une entreprise tierce. Cf. article 10.2.3 du présent CCAP.</w:t>
      </w:r>
    </w:p>
    <w:p w:rsidR="000E16F9" w:rsidRPr="009034D5" w:rsidRDefault="000E16F9" w:rsidP="000E16F9">
      <w:r>
        <w:t xml:space="preserve">Cas particulier des épreuves : si ces dernières sont prévues au </w:t>
      </w:r>
      <w:r w:rsidR="00087095">
        <w:t>marché</w:t>
      </w:r>
      <w:r w:rsidR="00380672">
        <w:t xml:space="preserve"> et ne sont pas concluantes, la PRM </w:t>
      </w:r>
      <w:r>
        <w:t>peut reporter la date d’effet de la réception.</w:t>
      </w:r>
    </w:p>
    <w:p w:rsidR="00BC55B5" w:rsidRPr="00F517BF" w:rsidRDefault="00BC55B5" w:rsidP="00BC55B5">
      <w:pPr>
        <w:pStyle w:val="1NIV1"/>
      </w:pPr>
      <w:bookmarkStart w:id="87" w:name="_Toc60319525"/>
      <w:r>
        <w:t>6</w:t>
      </w:r>
      <w:r w:rsidRPr="00F517BF">
        <w:t>.</w:t>
      </w:r>
      <w:r>
        <w:t>7</w:t>
      </w:r>
      <w:r w:rsidRPr="00F517BF">
        <w:t xml:space="preserve"> – REFACTION</w:t>
      </w:r>
      <w:bookmarkEnd w:id="87"/>
    </w:p>
    <w:p w:rsidR="00BC55B5" w:rsidRPr="00F517BF" w:rsidRDefault="00BC55B5" w:rsidP="00BC55B5">
      <w:r w:rsidRPr="00F517BF">
        <w:t>Dans le cadre de la réception des travaux, si certains ouvrages ou certaines parties d'ouvrages ne sont pas entièrement conformes aux spécifications du marché, sans que les imperfections constatées soient de nature à porter atteinte à la sécurité, au comportement ou à l'utilisation des ouvrages, la personne responsable du marché peut, eu égard à la faible importance des imperfections et aux difficultés que présenterait la mise en conformité, renoncer à ordonner la réfection des ouvrages estimés défectueux et proposer à l'entrepreneur une réfaction sur les prix.</w:t>
      </w:r>
    </w:p>
    <w:p w:rsidR="00BC55B5" w:rsidRPr="00F517BF" w:rsidRDefault="00BC55B5" w:rsidP="00BC55B5">
      <w:r w:rsidRPr="00F517BF">
        <w:t>La décision de réception avec réserves indique les réserves concernées par la proposition de réfaction.</w:t>
      </w:r>
    </w:p>
    <w:p w:rsidR="00BC55B5" w:rsidRPr="00F517BF" w:rsidRDefault="00BC55B5" w:rsidP="00BC55B5">
      <w:r w:rsidRPr="00F517BF">
        <w:t>Si l’entrepreneur accepte la réfaction, les imperfections qui l’ont motivée se trouvent couvertes de ce fait et les réceptions concernées sont réputées levées.</w:t>
      </w:r>
    </w:p>
    <w:p w:rsidR="00BC55B5" w:rsidRPr="00F517BF" w:rsidRDefault="00BC55B5" w:rsidP="00BC55B5">
      <w:r w:rsidRPr="00F517BF">
        <w:t>Dans le cas contraire, l’entrepreneur demeure tenu de réparer ces imperfections, la réception étant prononcée sous réserve de leur réparation.</w:t>
      </w:r>
    </w:p>
    <w:p w:rsidR="00386F03" w:rsidRDefault="00386F03" w:rsidP="00386F03">
      <w:pPr>
        <w:overflowPunct/>
        <w:autoSpaceDE/>
        <w:autoSpaceDN/>
        <w:adjustRightInd/>
        <w:spacing w:before="0" w:after="0"/>
        <w:ind w:left="0"/>
        <w:jc w:val="left"/>
        <w:textAlignment w:val="auto"/>
      </w:pPr>
      <w:r>
        <w:br w:type="page"/>
      </w:r>
    </w:p>
    <w:p w:rsidR="00386F03" w:rsidRPr="005F43A6" w:rsidRDefault="00386F03" w:rsidP="00386F03">
      <w:pPr>
        <w:pStyle w:val="0ENTETE"/>
      </w:pPr>
      <w:bookmarkStart w:id="88" w:name="_Toc60319526"/>
      <w:r w:rsidRPr="005F43A6">
        <w:t xml:space="preserve">ARTICLE </w:t>
      </w:r>
      <w:r>
        <w:t>7</w:t>
      </w:r>
      <w:r w:rsidRPr="005F43A6">
        <w:t xml:space="preserve"> – CONTENU ET CARACTERE DES PRIX</w:t>
      </w:r>
      <w:bookmarkEnd w:id="88"/>
    </w:p>
    <w:p w:rsidR="00386F03" w:rsidRPr="005F43A6" w:rsidRDefault="00386F03" w:rsidP="00386F03">
      <w:pPr>
        <w:pStyle w:val="1NIV1"/>
      </w:pPr>
      <w:bookmarkStart w:id="89" w:name="_Toc60319527"/>
      <w:r>
        <w:t>7.</w:t>
      </w:r>
      <w:r w:rsidRPr="005F43A6">
        <w:t>1 – CONTENU DES PRIX</w:t>
      </w:r>
      <w:bookmarkEnd w:id="89"/>
    </w:p>
    <w:p w:rsidR="00386F03" w:rsidRDefault="00386F03" w:rsidP="00386F03">
      <w:pPr>
        <w:pStyle w:val="2NIV2"/>
      </w:pPr>
      <w:bookmarkStart w:id="90" w:name="_Toc60319528"/>
      <w:r>
        <w:t>7.1.1 – Dispositions générales</w:t>
      </w:r>
      <w:bookmarkEnd w:id="90"/>
    </w:p>
    <w:p w:rsidR="00386F03" w:rsidRDefault="00386F03" w:rsidP="00386F03">
      <w:r>
        <w:t>Le titulaire reconnaît :</w:t>
      </w:r>
    </w:p>
    <w:p w:rsidR="00386F03" w:rsidRDefault="00386F03" w:rsidP="00386F03">
      <w:pPr>
        <w:pStyle w:val="Listenormale"/>
      </w:pPr>
      <w: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386F03" w:rsidRDefault="00386F03" w:rsidP="00386F03">
      <w:pPr>
        <w:pStyle w:val="Listenormale"/>
      </w:pPr>
      <w:r>
        <w:t xml:space="preserve">Avoir inclus dans les prix établis sous son entière responsabilité, toutes sujétions inhérentes à l’appréciation de la nature de l’exécution des prestations. </w:t>
      </w:r>
    </w:p>
    <w:p w:rsidR="00386F03" w:rsidRDefault="00386F03" w:rsidP="00386F03">
      <w:pPr>
        <w:pStyle w:val="Listenormale"/>
      </w:pPr>
      <w:r>
        <w:t>Avoir établi sous sa responsabilité les prix du présent marché, qui ne pourront en aucun cas être remis en cause, ni faire l’objet de modifications ou réclamations de quelque nature que ce soit.</w:t>
      </w:r>
    </w:p>
    <w:p w:rsidR="00386F03" w:rsidRDefault="00386F03" w:rsidP="00386F03">
      <w:r>
        <w:t>Les prix du marché sont réputés inclure</w:t>
      </w:r>
      <w:r w:rsidRPr="00EA5A26">
        <w:t xml:space="preserve"> </w:t>
      </w:r>
      <w:r>
        <w:t>notamment, en sus des charges de personnel et de fonctionnement du titulaire :</w:t>
      </w:r>
    </w:p>
    <w:p w:rsidR="00386F03" w:rsidRDefault="00386F03" w:rsidP="00386F03">
      <w:pPr>
        <w:pStyle w:val="Listenormale"/>
      </w:pPr>
      <w:r>
        <w:t>tout déplacement et sujétions d’hébergement sur place nécessaires à l’exécution du marché ;</w:t>
      </w:r>
    </w:p>
    <w:p w:rsidR="00386F03" w:rsidRDefault="00386F03" w:rsidP="00386F03">
      <w:pPr>
        <w:pStyle w:val="Listenormale"/>
      </w:pPr>
      <w:r>
        <w:t>les frais de coordination et de pilotage des éventuels sous-traitants, ainsi que les frais afférents à leur éventuel remplacement ;</w:t>
      </w:r>
    </w:p>
    <w:p w:rsidR="00386F03" w:rsidRDefault="00386F03" w:rsidP="00386F03">
      <w:pPr>
        <w:pStyle w:val="Listenormale"/>
      </w:pPr>
      <w:r>
        <w:t>s’il est mandataire d’un groupement, tous les frais afférents à son rôle de mandataire (coordination ou solidarité) ;</w:t>
      </w:r>
    </w:p>
    <w:p w:rsidR="00386F03" w:rsidRDefault="00386F03" w:rsidP="00386F03">
      <w:pPr>
        <w:pStyle w:val="Listenormale"/>
      </w:pPr>
      <w:r>
        <w:t>les taxes en vigueur et applicables aux prestations et au titulaire * ;</w:t>
      </w:r>
    </w:p>
    <w:p w:rsidR="00386F03" w:rsidRDefault="00386F03" w:rsidP="00386F03">
      <w:pPr>
        <w:pStyle w:val="Listenormale"/>
      </w:pPr>
      <w:r>
        <w:t>ses marges pour risques et bénéfices.</w:t>
      </w:r>
    </w:p>
    <w:p w:rsidR="00386F03" w:rsidRDefault="00386F03" w:rsidP="00386F03">
      <w:r>
        <w:t>* Dans le cas d’une erreur de taxe commise par le titulaire lors de la remise de son offre, les prix hors taxes sont rectifiés pour intégrer la taxe correcte, sans pouvoir modifier le prix du marché avec taxes</w:t>
      </w:r>
      <w:r w:rsidR="005D195E">
        <w:t>, afin de ne pas remettre en cause la mise en concurrence ayant donné lieu à la passation du marché</w:t>
      </w:r>
      <w:r>
        <w:t>.</w:t>
      </w:r>
    </w:p>
    <w:p w:rsidR="00386F03" w:rsidRDefault="00386F03" w:rsidP="00386F03">
      <w:pPr>
        <w:pStyle w:val="2NIV2"/>
      </w:pPr>
      <w:bookmarkStart w:id="91" w:name="_Toc60319529"/>
      <w:r>
        <w:t>7.1.2 – Exonération de taxes</w:t>
      </w:r>
      <w:bookmarkEnd w:id="91"/>
    </w:p>
    <w:p w:rsidR="00386F03" w:rsidRDefault="00555941" w:rsidP="00386F03">
      <w:pPr>
        <w:pStyle w:val="NormalX"/>
      </w:pPr>
      <w:sdt>
        <w:sdtPr>
          <w:id w:val="1956593632"/>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Sans objet.</w:t>
      </w:r>
    </w:p>
    <w:p w:rsidR="00386F03" w:rsidRDefault="00555941" w:rsidP="00386F03">
      <w:pPr>
        <w:pStyle w:val="NormalX"/>
      </w:pPr>
      <w:sdt>
        <w:sdtPr>
          <w:id w:val="-733927199"/>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Certains prix sont exonérés de </w:t>
      </w:r>
      <w:r w:rsidR="003F2BB4">
        <w:t xml:space="preserve">droits ou  </w:t>
      </w:r>
      <w:r w:rsidR="00386F03">
        <w:t>taxes. Voir ci-après la liste des prix, ainsi que les</w:t>
      </w:r>
      <w:r w:rsidR="003F2BB4">
        <w:t xml:space="preserve"> droits / </w:t>
      </w:r>
      <w:r w:rsidR="00386F03">
        <w:t>taxes et modalités correspondantes :</w:t>
      </w:r>
    </w:p>
    <w:p w:rsidR="00386F03" w:rsidRDefault="00386F03" w:rsidP="00386F03">
      <w:pPr>
        <w:pStyle w:val="Listenormale"/>
      </w:pPr>
      <w:r>
        <w:t>…………………..</w:t>
      </w:r>
    </w:p>
    <w:p w:rsidR="00386F03" w:rsidRDefault="00386F03" w:rsidP="00386F03">
      <w:pPr>
        <w:pStyle w:val="Listenormale"/>
      </w:pPr>
      <w:r>
        <w:t>…………………..</w:t>
      </w:r>
    </w:p>
    <w:p w:rsidR="00386F03" w:rsidRDefault="00386F03" w:rsidP="00386F03">
      <w:pPr>
        <w:pStyle w:val="2NIV2"/>
      </w:pPr>
      <w:bookmarkStart w:id="92" w:name="_Toc60319530"/>
      <w:r>
        <w:t>7.1.3 – Sujétions liées aux intempéries</w:t>
      </w:r>
      <w:bookmarkEnd w:id="92"/>
    </w:p>
    <w:p w:rsidR="00386F03" w:rsidRDefault="00555941" w:rsidP="00386F03">
      <w:pPr>
        <w:pStyle w:val="NormalX"/>
      </w:pPr>
      <w:sdt>
        <w:sdtPr>
          <w:id w:val="-772316404"/>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p w:rsidR="00386F03" w:rsidRPr="001E1B5D" w:rsidRDefault="00555941" w:rsidP="00386F03">
      <w:pPr>
        <w:pStyle w:val="NormalX"/>
      </w:pPr>
      <w:sdt>
        <w:sdtPr>
          <w:id w:val="217485630"/>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Les prix sont établis en considérant comme normale</w:t>
      </w:r>
      <w:r w:rsidR="00386F03">
        <w:t>ment prévisibles les sujétions d’exécution relatives aux</w:t>
      </w:r>
      <w:r w:rsidR="00386F03" w:rsidRPr="001E1B5D">
        <w:t xml:space="preserve"> intempéries et autres phénomènes naturels indiqués ci-après lorsqu'ils n'atteignent pas les intensités limites ci-après mesurées par le service météorologique de la Nouvelle Calédonie :</w:t>
      </w:r>
    </w:p>
    <w:p w:rsidR="00386F03" w:rsidRDefault="00555941" w:rsidP="00265B3E">
      <w:pPr>
        <w:pStyle w:val="ListeX"/>
      </w:pPr>
      <w:sdt>
        <w:sdtPr>
          <w:id w:val="158050838"/>
          <w14:checkbox>
            <w14:checked w14:val="0"/>
            <w14:checkedState w14:val="2612" w14:font="MS Gothic"/>
            <w14:uncheckedState w14:val="2610" w14:font="MS Gothic"/>
          </w14:checkbox>
        </w:sdtPr>
        <w:sdtEndPr/>
        <w:sdtContent>
          <w:r w:rsidR="00B63DE9">
            <w:rPr>
              <w:rFonts w:ascii="MS Gothic" w:eastAsia="MS Gothic" w:hAnsi="MS Gothic" w:hint="eastAsia"/>
            </w:rPr>
            <w:t>☐</w:t>
          </w:r>
        </w:sdtContent>
      </w:sdt>
      <w:r w:rsidR="00386F03" w:rsidRPr="001E1B5D">
        <w:t xml:space="preserve"> </w:t>
      </w:r>
      <w:r w:rsidR="00386F03">
        <w:t>PLUIE – intensité limite : 200 mm / 24 heures</w:t>
      </w:r>
    </w:p>
    <w:p w:rsidR="00386F03" w:rsidRDefault="00555941" w:rsidP="00265B3E">
      <w:pPr>
        <w:pStyle w:val="ListeX"/>
      </w:pPr>
      <w:sdt>
        <w:sdtPr>
          <w:id w:val="1680769493"/>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VENT – intensité limite : 200 km/heure</w:t>
      </w:r>
    </w:p>
    <w:p w:rsidR="00386F03" w:rsidRDefault="00555941" w:rsidP="00265B3E">
      <w:pPr>
        <w:pStyle w:val="ListeX"/>
      </w:pPr>
      <w:sdt>
        <w:sdtPr>
          <w:id w:val="324942226"/>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VITESSE DU COURANT – intensité limite : 4 mètres / seconde</w:t>
      </w:r>
    </w:p>
    <w:p w:rsidR="00386F03" w:rsidRDefault="00386F03" w:rsidP="00386F03">
      <w:r>
        <w:t>Les données de vérification de ces conditions seront fournies par la station du service météorologique de la Nouvelle Calédonie la plus proche, ou à défaut par celle la plus proche dont les données sont disponibles. L’obtention de ces données est à la charge du titulaire.</w:t>
      </w:r>
    </w:p>
    <w:p w:rsidR="00386F03" w:rsidRDefault="00386F03" w:rsidP="00386F03">
      <w:pPr>
        <w:pStyle w:val="2NIV2"/>
      </w:pPr>
      <w:bookmarkStart w:id="93" w:name="_Toc60319531"/>
      <w:r>
        <w:t>7.1.4 – Exécution simultanée ou imbriquée de prestations effectuées par d’autres prestataires</w:t>
      </w:r>
      <w:bookmarkEnd w:id="93"/>
    </w:p>
    <w:p w:rsidR="00386F03" w:rsidRDefault="00555941" w:rsidP="00386F03">
      <w:pPr>
        <w:pStyle w:val="NormalX"/>
      </w:pPr>
      <w:sdt>
        <w:sdtPr>
          <w:id w:val="-1103800101"/>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p w:rsidR="00386F03" w:rsidRDefault="00555941" w:rsidP="00386F03">
      <w:pPr>
        <w:pStyle w:val="NormalX"/>
      </w:pPr>
      <w:sdt>
        <w:sdtPr>
          <w:id w:val="394332963"/>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rsidRPr="001E1B5D">
        <w:t xml:space="preserve"> Les prix sont établis en considérant </w:t>
      </w:r>
      <w:r w:rsidR="00386F03">
        <w:t>que le titulaire tient compte des sujétions relatives aux prestations exécutées simultanément ou de manière imbriquée par d’autres prestataires, dans la limite des données incluses dans le présent marché ou communiquées par l’acheteur public.</w:t>
      </w:r>
    </w:p>
    <w:p w:rsidR="00386F03" w:rsidRDefault="00386F03" w:rsidP="00386F03">
      <w:r>
        <w:t>Dès qu’une information lui est communiquée à ce sujet, il lui appartient de se mettre en rapport avec ces prestataires pour garantir une bonne exécution de ses propres prestations.</w:t>
      </w:r>
    </w:p>
    <w:p w:rsidR="00386F03" w:rsidRDefault="00386F03" w:rsidP="00386F03">
      <w:r>
        <w:t>Dès qu’un incident relatif à leurs prestations a un impact sur ses propres prestations, en termes de coût ou de délai, le titulaire est tenu d’en informer l’acheteur public dans le délai de 10 jours suivant la survenue de l’incident, sous peine de forclusion.</w:t>
      </w:r>
    </w:p>
    <w:p w:rsidR="00386F03" w:rsidRDefault="00386F03" w:rsidP="00386F03">
      <w:pPr>
        <w:pStyle w:val="2NIV2"/>
      </w:pPr>
      <w:bookmarkStart w:id="94" w:name="_Toc60319532"/>
      <w:r>
        <w:t>7.1.5 – Sujétions exclues des prix du marché</w:t>
      </w:r>
      <w:bookmarkEnd w:id="94"/>
    </w:p>
    <w:p w:rsidR="00386F03" w:rsidRDefault="00555941" w:rsidP="00386F03">
      <w:pPr>
        <w:pStyle w:val="NormalX"/>
      </w:pPr>
      <w:sdt>
        <w:sdtPr>
          <w:id w:val="824015012"/>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p w:rsidR="004C4CAB" w:rsidRDefault="00555941" w:rsidP="004C4CAB">
      <w:pPr>
        <w:pStyle w:val="NormalX"/>
      </w:pPr>
      <w:sdt>
        <w:sdtPr>
          <w:id w:val="-1829979543"/>
          <w14:checkbox>
            <w14:checked w14:val="0"/>
            <w14:checkedState w14:val="2612" w14:font="MS Gothic"/>
            <w14:uncheckedState w14:val="2610" w14:font="MS Gothic"/>
          </w14:checkbox>
        </w:sdtPr>
        <w:sdtEndPr/>
        <w:sdtContent>
          <w:r w:rsidR="004C4CAB" w:rsidRPr="001E1B5D">
            <w:rPr>
              <w:rFonts w:eastAsia="MS Gothic" w:hint="eastAsia"/>
            </w:rPr>
            <w:t>☐</w:t>
          </w:r>
        </w:sdtContent>
      </w:sdt>
      <w:r w:rsidR="004C4CAB" w:rsidRPr="001E1B5D">
        <w:t xml:space="preserve"> </w:t>
      </w:r>
      <w:r w:rsidR="004C4CAB">
        <w:t>Les prestations seront exécutées conformément aux directives des autorités de santé concernant les mesures de lutte contre la propagation des maladies contagieuses (exemple : COVID-19) en vigueur à la date de remise de l’offre.</w:t>
      </w:r>
    </w:p>
    <w:p w:rsidR="004C4CAB" w:rsidRDefault="004C4CAB" w:rsidP="004C4CAB">
      <w:r>
        <w:t>Toute modification de ces directives ayant un impact sur le coût des prestations pourra faire l’objet d’une modification des prix du marché sur la base de justificatifs chiffrés, par voie d’avenant.</w:t>
      </w:r>
    </w:p>
    <w:p w:rsidR="004C4CAB" w:rsidRDefault="004C4CAB" w:rsidP="004C4CAB">
      <w:r>
        <w:t>Toutefois, en l’absence d’accord ou si la recherche d’accord entraîne un retard dans la passation de l’avenant, le titulaire du marché sera tenu d’exécuter, sans jamais les interrompre, les prestations prévues au marché jusqu’au terme du marché, en respectant les nouvelles directives.</w:t>
      </w:r>
    </w:p>
    <w:p w:rsidR="00386F03" w:rsidRDefault="00386F03" w:rsidP="00386F03">
      <w:pPr>
        <w:pStyle w:val="2NIV2"/>
      </w:pPr>
      <w:bookmarkStart w:id="95" w:name="_Toc60319533"/>
      <w:r>
        <w:t>7.1.6 – Fourniture de sous-détails de prix</w:t>
      </w:r>
      <w:bookmarkEnd w:id="95"/>
    </w:p>
    <w:p w:rsidR="00386F03" w:rsidRDefault="00386F03" w:rsidP="00386F03">
      <w:r>
        <w:t>La personne responsable du marché ou le maître d’œuvre peut à tout moment demander au titulaire de fournir le sous-détail d’un prix unitaire ou forfaitaire, comprenant notamment :</w:t>
      </w:r>
    </w:p>
    <w:p w:rsidR="00386F03" w:rsidRDefault="00386F03" w:rsidP="00386F03">
      <w:pPr>
        <w:pStyle w:val="Listenormale"/>
      </w:pPr>
      <w:r>
        <w:t>les quantités et le prix d’unité de chaque nature de matière, matériau ou composant ;</w:t>
      </w:r>
    </w:p>
    <w:p w:rsidR="00386F03" w:rsidRDefault="00386F03" w:rsidP="00386F03">
      <w:pPr>
        <w:pStyle w:val="Listenormale"/>
      </w:pPr>
      <w:r>
        <w:t>les quantités d’œuvre ou d’heures et le prix de la main d’œuvre correspondante ;</w:t>
      </w:r>
    </w:p>
    <w:p w:rsidR="00386F03" w:rsidRDefault="00386F03" w:rsidP="00386F03">
      <w:pPr>
        <w:pStyle w:val="Listenormale"/>
      </w:pPr>
      <w:r>
        <w:t>les marges relatives aux frais généraux et leur décomposition ;</w:t>
      </w:r>
    </w:p>
    <w:p w:rsidR="00386F03" w:rsidRDefault="00386F03" w:rsidP="00386F03">
      <w:pPr>
        <w:pStyle w:val="Listenormale"/>
      </w:pPr>
      <w:r>
        <w:t>les marges relatives aux risques et bénéfices.</w:t>
      </w:r>
    </w:p>
    <w:p w:rsidR="00386F03" w:rsidRDefault="00386F03" w:rsidP="00386F03">
      <w:r>
        <w:t>Le titulaire devra le lui fournir dans le délai imparti qui sera au minimum de 7 jours à compter de la notification de la demande.</w:t>
      </w:r>
    </w:p>
    <w:p w:rsidR="00386F03" w:rsidRDefault="00386F03" w:rsidP="00386F03">
      <w:r>
        <w:t>Ces éléments serviront notamment pour la fixation de prix nouveaux pour les prestations non prévues dans le marché et qui viendraient à devenir nécessaires à l’objet du marché.</w:t>
      </w:r>
    </w:p>
    <w:p w:rsidR="00386F03" w:rsidRDefault="00386F03" w:rsidP="00386F03">
      <w:pPr>
        <w:pStyle w:val="1NIV1"/>
      </w:pPr>
      <w:bookmarkStart w:id="96" w:name="_Toc60319534"/>
      <w:r>
        <w:t>7.2 – CARACTERE DES PRIX</w:t>
      </w:r>
      <w:bookmarkEnd w:id="96"/>
    </w:p>
    <w:p w:rsidR="00386F03" w:rsidRDefault="00386F03" w:rsidP="00386F03">
      <w:pPr>
        <w:pStyle w:val="2NIV2"/>
      </w:pPr>
      <w:bookmarkStart w:id="97" w:name="_Toc60319535"/>
      <w:r>
        <w:t>7.2.1 – Prestations réglées au forfait</w:t>
      </w:r>
      <w:bookmarkEnd w:id="97"/>
    </w:p>
    <w:p w:rsidR="00386F03" w:rsidRDefault="00555941" w:rsidP="00386F03">
      <w:pPr>
        <w:pStyle w:val="NormalX"/>
      </w:pPr>
      <w:sdt>
        <w:sdtPr>
          <w:id w:val="-2099404287"/>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Sans objet.</w:t>
      </w:r>
    </w:p>
    <w:p w:rsidR="00386F03" w:rsidRDefault="00555941" w:rsidP="00386F03">
      <w:pPr>
        <w:pStyle w:val="NormalX"/>
      </w:pPr>
      <w:sdt>
        <w:sdtPr>
          <w:id w:val="1467629924"/>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Les prestations faisant l’objet du marché sont réglées par un prix global forfaitaire précisé à l’acte d’engagement.</w:t>
      </w:r>
    </w:p>
    <w:p w:rsidR="00386F03" w:rsidRDefault="00555941" w:rsidP="00386F03">
      <w:pPr>
        <w:pStyle w:val="NormalX"/>
      </w:pPr>
      <w:sdt>
        <w:sdtPr>
          <w:id w:val="1392074380"/>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Certaines prestations du marché précisées ci-après sont réglées par des prix forfaitaires :</w:t>
      </w:r>
    </w:p>
    <w:p w:rsidR="00386F03" w:rsidRDefault="00386F03" w:rsidP="00386F03">
      <w:pPr>
        <w:pStyle w:val="Listenormale"/>
      </w:pPr>
      <w:r>
        <w:t>……………….</w:t>
      </w:r>
    </w:p>
    <w:p w:rsidR="00386F03" w:rsidRDefault="00386F03" w:rsidP="00386F03">
      <w:pPr>
        <w:pStyle w:val="Listenormale"/>
      </w:pPr>
      <w:r>
        <w:t>……………….</w:t>
      </w:r>
    </w:p>
    <w:p w:rsidR="00386F03" w:rsidRDefault="00386F03" w:rsidP="00386F03">
      <w:pPr>
        <w:pStyle w:val="2NIV2"/>
      </w:pPr>
      <w:bookmarkStart w:id="98" w:name="_Toc60319536"/>
      <w:r>
        <w:t>7.2.2 – Prestations réglées sur prix unitaires</w:t>
      </w:r>
      <w:bookmarkEnd w:id="98"/>
    </w:p>
    <w:p w:rsidR="00386F03" w:rsidRDefault="00555941" w:rsidP="00386F03">
      <w:pPr>
        <w:pStyle w:val="NormalX"/>
      </w:pPr>
      <w:sdt>
        <w:sdtPr>
          <w:id w:val="407198474"/>
          <w14:checkbox>
            <w14:checked w14:val="0"/>
            <w14:checkedState w14:val="2612" w14:font="MS Gothic"/>
            <w14:uncheckedState w14:val="2610" w14:font="MS Gothic"/>
          </w14:checkbox>
        </w:sdtPr>
        <w:sdtEndPr/>
        <w:sdtContent>
          <w:r w:rsidR="00386F03" w:rsidRPr="001E1B5D">
            <w:rPr>
              <w:rFonts w:ascii="MS Gothic" w:eastAsia="MS Gothic" w:hAnsi="MS Gothic" w:cs="MS Gothic" w:hint="eastAsia"/>
            </w:rPr>
            <w:t>☐</w:t>
          </w:r>
        </w:sdtContent>
      </w:sdt>
      <w:r w:rsidR="00386F03">
        <w:t xml:space="preserve"> Sans objet.</w:t>
      </w:r>
    </w:p>
    <w:p w:rsidR="00386F03" w:rsidRDefault="00555941" w:rsidP="00386F03">
      <w:pPr>
        <w:pStyle w:val="NormalX"/>
      </w:pPr>
      <w:sdt>
        <w:sdtPr>
          <w:id w:val="-665473547"/>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Les prestations faisant l’objet du marché sont réglées par application des prix unitaires précisés dans le bordereau des prix unitaires ou à défaut dans l’acte d’engagement, aux quantités réellement exécutées.</w:t>
      </w:r>
    </w:p>
    <w:p w:rsidR="00386F03" w:rsidRDefault="00555941" w:rsidP="00386F03">
      <w:pPr>
        <w:pStyle w:val="NormalX"/>
      </w:pPr>
      <w:sdt>
        <w:sdtPr>
          <w:id w:val="-650139923"/>
          <w14:checkbox>
            <w14:checked w14:val="0"/>
            <w14:checkedState w14:val="2612" w14:font="MS Gothic"/>
            <w14:uncheckedState w14:val="2610" w14:font="MS Gothic"/>
          </w14:checkbox>
        </w:sdtPr>
        <w:sdtEndPr/>
        <w:sdtContent>
          <w:r w:rsidR="00386F03" w:rsidRPr="001E1B5D">
            <w:rPr>
              <w:rFonts w:eastAsia="MS Gothic" w:hint="eastAsia"/>
            </w:rPr>
            <w:t>☐</w:t>
          </w:r>
        </w:sdtContent>
      </w:sdt>
      <w:r w:rsidR="00386F03" w:rsidRPr="001E1B5D">
        <w:t xml:space="preserve"> </w:t>
      </w:r>
      <w:r w:rsidR="00386F03">
        <w:t>Certaines prestations du marché précisées ci-après sont réglées par application des prix unitaires aux quantités réellement exécutées :</w:t>
      </w:r>
    </w:p>
    <w:p w:rsidR="00386F03" w:rsidRDefault="00386F03" w:rsidP="00386F03">
      <w:pPr>
        <w:pStyle w:val="Listenormale"/>
      </w:pPr>
      <w:r>
        <w:t>……………….</w:t>
      </w:r>
    </w:p>
    <w:p w:rsidR="00386F03" w:rsidRDefault="00386F03" w:rsidP="00386F03">
      <w:pPr>
        <w:pStyle w:val="Listenormale"/>
      </w:pPr>
      <w:r>
        <w:t>……………….</w:t>
      </w:r>
    </w:p>
    <w:p w:rsidR="00386F03" w:rsidRDefault="00386F03" w:rsidP="00386F03">
      <w:pPr>
        <w:pStyle w:val="2NIV2"/>
      </w:pPr>
      <w:bookmarkStart w:id="99" w:name="_Toc60319537"/>
      <w:r>
        <w:t>7.2.3 – Caractère provisoire ou définitif</w:t>
      </w:r>
      <w:bookmarkEnd w:id="99"/>
    </w:p>
    <w:p w:rsidR="00386F03" w:rsidRDefault="00386F03" w:rsidP="00386F03">
      <w:r>
        <w:t>Les prix du marché sont des prix définitifs.</w:t>
      </w:r>
    </w:p>
    <w:p w:rsidR="00386F03" w:rsidRDefault="00386F03" w:rsidP="00386F03">
      <w:pPr>
        <w:pStyle w:val="2NIV2"/>
      </w:pPr>
      <w:bookmarkStart w:id="100" w:name="_Toc60319538"/>
      <w:r>
        <w:t>7.2.4 – Variation des prix</w:t>
      </w:r>
      <w:bookmarkEnd w:id="100"/>
    </w:p>
    <w:p w:rsidR="00386F03" w:rsidRDefault="00386F03" w:rsidP="00386F03">
      <w:r>
        <w:t>Les prix du marché sont :</w:t>
      </w:r>
    </w:p>
    <w:p w:rsidR="00386F03" w:rsidRDefault="00555941" w:rsidP="00386F03">
      <w:pPr>
        <w:pStyle w:val="NormalX"/>
      </w:pPr>
      <w:sdt>
        <w:sdtPr>
          <w:id w:val="1147170305"/>
          <w14:checkbox>
            <w14:checked w14:val="0"/>
            <w14:checkedState w14:val="2612" w14:font="MS Gothic"/>
            <w14:uncheckedState w14:val="2610" w14:font="MS Gothic"/>
          </w14:checkbox>
        </w:sdtPr>
        <w:sdtEndPr/>
        <w:sdtContent>
          <w:r w:rsidR="00386F03">
            <w:rPr>
              <w:rFonts w:ascii="MS Gothic" w:eastAsia="MS Gothic" w:hAnsi="MS Gothic" w:hint="eastAsia"/>
            </w:rPr>
            <w:t>☐</w:t>
          </w:r>
        </w:sdtContent>
      </w:sdt>
      <w:r w:rsidR="00386F03">
        <w:t xml:space="preserve"> Fermes (durée d’exécution du marché inférieure à 6 mois).</w:t>
      </w:r>
    </w:p>
    <w:p w:rsidR="00265B3E" w:rsidRDefault="00386F03" w:rsidP="00386F03">
      <w:r>
        <w:t xml:space="preserve">Conformément à l’article 9 de la délibération n° 424 du 20 mars 2019, ces prix fermes sont actualisables lorsqu’un délai supérieur à trois mois s’écoule </w:t>
      </w:r>
      <w:r w:rsidRPr="00C42A59">
        <w:t>entre la date à laquelle le titulaire est réputé avoir fixé son prix et la date de déb</w:t>
      </w:r>
      <w:r w:rsidR="00265B3E">
        <w:t>ut d’exécution des prestations.</w:t>
      </w:r>
    </w:p>
    <w:p w:rsidR="00386F03" w:rsidRDefault="00386F03" w:rsidP="00386F03">
      <w:r w:rsidRPr="00C42A59">
        <w:t>Dans ce cas, l’actualisation se fait aux conditions économiques correspondant à une date antérieure de trois mois à la date de début d’exécution des prestations.</w:t>
      </w:r>
    </w:p>
    <w:p w:rsidR="00DF5403" w:rsidRDefault="00555941" w:rsidP="00DF5403">
      <w:pPr>
        <w:pStyle w:val="NormalX"/>
      </w:pPr>
      <w:sdt>
        <w:sdtPr>
          <w:id w:val="2116556348"/>
          <w14:checkbox>
            <w14:checked w14:val="0"/>
            <w14:checkedState w14:val="2612" w14:font="MS Gothic"/>
            <w14:uncheckedState w14:val="2610" w14:font="MS Gothic"/>
          </w14:checkbox>
        </w:sdtPr>
        <w:sdtEndPr/>
        <w:sdtContent>
          <w:r w:rsidR="00DF5403">
            <w:rPr>
              <w:rFonts w:ascii="MS Gothic" w:eastAsia="MS Gothic" w:hAnsi="MS Gothic" w:hint="eastAsia"/>
            </w:rPr>
            <w:t>☐</w:t>
          </w:r>
        </w:sdtContent>
      </w:sdt>
      <w:r w:rsidR="00DF5403">
        <w:t xml:space="preserve"> Révisables (durée d’exécution du marché supérieure ou égale à 6 mois).</w:t>
      </w:r>
    </w:p>
    <w:p w:rsidR="00DF5403" w:rsidRDefault="00DF5403" w:rsidP="00DF5403">
      <w:r>
        <w:t>Chaque acompte fait l’objet d’une révision aux conditions économiques correspondant à la date d’arrêt des prestations exécutées donnant lieu à l’acompte – cf. article 8.2.2 ci-après.</w:t>
      </w:r>
    </w:p>
    <w:p w:rsidR="00386F03" w:rsidRDefault="00386F03" w:rsidP="00386F03">
      <w:pPr>
        <w:overflowPunct/>
        <w:autoSpaceDE/>
        <w:autoSpaceDN/>
        <w:adjustRightInd/>
        <w:spacing w:before="0" w:after="0"/>
        <w:ind w:left="0"/>
        <w:jc w:val="left"/>
        <w:textAlignment w:val="auto"/>
      </w:pPr>
      <w:r>
        <w:br w:type="page"/>
      </w:r>
    </w:p>
    <w:p w:rsidR="00856A0D" w:rsidRPr="005F43A6" w:rsidRDefault="00856A0D" w:rsidP="00856A0D">
      <w:pPr>
        <w:pStyle w:val="0ENTETE"/>
      </w:pPr>
      <w:bookmarkStart w:id="101" w:name="_Toc60319539"/>
      <w:r>
        <w:t xml:space="preserve">ARTICLE </w:t>
      </w:r>
      <w:r w:rsidR="00386F03">
        <w:t>8</w:t>
      </w:r>
      <w:r>
        <w:t xml:space="preserve"> </w:t>
      </w:r>
      <w:r w:rsidRPr="005F43A6">
        <w:t>– DETERMINATION DU PRIX DE REGLEMENT – VARIATION DES PRIX</w:t>
      </w:r>
      <w:r>
        <w:t xml:space="preserve"> – APPROVISIONNEMENTS </w:t>
      </w:r>
      <w:r w:rsidR="00662BC8">
        <w:t>–</w:t>
      </w:r>
      <w:r>
        <w:t xml:space="preserve"> AVANCES</w:t>
      </w:r>
      <w:r w:rsidR="00662BC8">
        <w:t xml:space="preserve"> – AUTO-LIQUIDATION TGC</w:t>
      </w:r>
      <w:bookmarkEnd w:id="101"/>
    </w:p>
    <w:p w:rsidR="00C42A59" w:rsidRDefault="00386F03" w:rsidP="005F43A6">
      <w:pPr>
        <w:pStyle w:val="1NIV1"/>
      </w:pPr>
      <w:bookmarkStart w:id="102" w:name="_Toc47349734"/>
      <w:bookmarkStart w:id="103" w:name="_Toc47515535"/>
      <w:bookmarkStart w:id="104" w:name="_Toc60319540"/>
      <w:r>
        <w:t>8.</w:t>
      </w:r>
      <w:r w:rsidR="00C8080F">
        <w:t>1</w:t>
      </w:r>
      <w:r w:rsidR="00C42A59">
        <w:t xml:space="preserve"> – DETERMINATION DU PRIX DE REGLEMENT</w:t>
      </w:r>
      <w:bookmarkEnd w:id="104"/>
    </w:p>
    <w:p w:rsidR="0038255E" w:rsidRDefault="00386F03" w:rsidP="0038255E">
      <w:pPr>
        <w:pStyle w:val="2NIV2"/>
      </w:pPr>
      <w:bookmarkStart w:id="105" w:name="_Toc60319541"/>
      <w:r>
        <w:t>8.</w:t>
      </w:r>
      <w:r w:rsidR="00856A0D">
        <w:t>1</w:t>
      </w:r>
      <w:r w:rsidR="0038255E">
        <w:t>.1 – Prix de base</w:t>
      </w:r>
      <w:bookmarkEnd w:id="105"/>
    </w:p>
    <w:p w:rsidR="0038255E" w:rsidRDefault="0038255E" w:rsidP="00C42A59">
      <w:r>
        <w:t>Le montant à régler en prix de base est déterminé </w:t>
      </w:r>
      <w:r w:rsidR="00BE1B67">
        <w:t xml:space="preserve">comme suit </w:t>
      </w:r>
      <w:r>
        <w:t>:</w:t>
      </w:r>
    </w:p>
    <w:p w:rsidR="00D23859" w:rsidRDefault="0038255E" w:rsidP="00C42A59">
      <w:r>
        <w:t>Pour les prestations réglées sur prix unitaires, par application des prix unitaires précisés dans le bordereau des prix unitaires ou à défaut dans l’acte d’engagement, aux quantités réellement exécutées.</w:t>
      </w:r>
    </w:p>
    <w:p w:rsidR="00F679C0" w:rsidRDefault="00F679C0" w:rsidP="00F679C0">
      <w:r>
        <w:t xml:space="preserve">Pour les prestations à prix forfaitaires, </w:t>
      </w:r>
      <w:r w:rsidR="00254C49">
        <w:t>en effectuant</w:t>
      </w:r>
      <w:r>
        <w:t xml:space="preserve"> une appréciation de l’avancement d’exécution, soit par application d’un pourcentage à ces prix forfaitaires, soit par indication de la valeur estimée des prestations exécutées.</w:t>
      </w:r>
    </w:p>
    <w:p w:rsidR="00F679C0" w:rsidRDefault="00F679C0" w:rsidP="00F679C0">
      <w:r>
        <w:t>Si le titulaire et le référent du marché conviennent d’utiliser un pourcentage pour apprécier l’avancement d’exécution, il est arrondi au % et le montant calculé par application de ce pourcentage au forfait est lui-même arrondi à l’entier le plus proche.</w:t>
      </w:r>
    </w:p>
    <w:p w:rsidR="00856A0D" w:rsidRDefault="00386F03" w:rsidP="00856A0D">
      <w:pPr>
        <w:pStyle w:val="2NIV2"/>
      </w:pPr>
      <w:bookmarkStart w:id="106" w:name="_Toc60319542"/>
      <w:r>
        <w:t>8.</w:t>
      </w:r>
      <w:r w:rsidR="00856A0D">
        <w:t xml:space="preserve">1.2 – </w:t>
      </w:r>
      <w:r w:rsidR="00A12F00">
        <w:t>Modalités de</w:t>
      </w:r>
      <w:r w:rsidR="006E2DF0">
        <w:t xml:space="preserve"> règlement</w:t>
      </w:r>
      <w:bookmarkEnd w:id="106"/>
    </w:p>
    <w:p w:rsidR="0058753D" w:rsidRDefault="00386F03" w:rsidP="0058753D">
      <w:pPr>
        <w:pStyle w:val="3NIV3"/>
      </w:pPr>
      <w:bookmarkStart w:id="107" w:name="_Toc60319543"/>
      <w:r>
        <w:t>8.</w:t>
      </w:r>
      <w:r w:rsidR="0058753D">
        <w:t>1.2.</w:t>
      </w:r>
      <w:r w:rsidR="00091434">
        <w:t>1</w:t>
      </w:r>
      <w:r w:rsidR="0058753D">
        <w:t xml:space="preserve"> – Décomptes et acomptes</w:t>
      </w:r>
      <w:bookmarkEnd w:id="107"/>
    </w:p>
    <w:p w:rsidR="006E2DF0" w:rsidRDefault="00062335" w:rsidP="00DF5403">
      <w:r>
        <w:t>L</w:t>
      </w:r>
      <w:r w:rsidR="006E2DF0">
        <w:t>e règlement se fait par des acomptes et un solde établis conformément aux dispositions générales de l’article 13 du CCAG travaux.</w:t>
      </w:r>
      <w:r w:rsidR="001D5DD3">
        <w:t xml:space="preserve"> </w:t>
      </w:r>
      <w:r w:rsidR="006E2DF0">
        <w:t xml:space="preserve">Toutefois, les chaînes de calcul préconisées </w:t>
      </w:r>
      <w:r w:rsidR="0058753D">
        <w:t>à l’article 13 du CCAG sont modifiées</w:t>
      </w:r>
      <w:r w:rsidR="001D5DD3">
        <w:t xml:space="preserve"> par les dispositions suivantes.</w:t>
      </w:r>
    </w:p>
    <w:p w:rsidR="0058753D" w:rsidRDefault="0058753D" w:rsidP="006E2DF0">
      <w:r>
        <w:t>Pour les sommes concernant l’ensemble du marché :</w:t>
      </w:r>
    </w:p>
    <w:p w:rsidR="0058753D" w:rsidRPr="00B54ACF" w:rsidRDefault="00F03297" w:rsidP="0058753D">
      <w:pPr>
        <w:pStyle w:val="Listenormale"/>
      </w:pPr>
      <w:r>
        <w:rPr>
          <w:b/>
        </w:rPr>
        <w:t>D</w:t>
      </w:r>
      <w:r w:rsidRPr="00CE6DD2">
        <w:rPr>
          <w:b/>
        </w:rPr>
        <w:t>ans le décompte</w:t>
      </w:r>
      <w:r>
        <w:t>, i</w:t>
      </w:r>
      <w:r w:rsidR="0058753D">
        <w:t xml:space="preserve">l est </w:t>
      </w:r>
      <w:r>
        <w:t xml:space="preserve">indiqué </w:t>
      </w:r>
      <w:r w:rsidR="0058753D" w:rsidRPr="00B54ACF">
        <w:t xml:space="preserve">l’ensemble des sommes à payer </w:t>
      </w:r>
      <w:r w:rsidR="0058753D" w:rsidRPr="00CE6DD2">
        <w:t>depuis le début de l’exécution du marché</w:t>
      </w:r>
      <w:r w:rsidR="0058753D" w:rsidRPr="00B54ACF">
        <w:t xml:space="preserve">, de quelque nature que ce soit (avances, </w:t>
      </w:r>
      <w:r w:rsidR="00CE6DD2">
        <w:t>approvisionnements, prestations exécutées, taxes,</w:t>
      </w:r>
      <w:r w:rsidR="0058753D" w:rsidRPr="00B54ACF">
        <w:t xml:space="preserve"> etc…) à la date d’arrêt des prestations objet du décompte ;</w:t>
      </w:r>
    </w:p>
    <w:p w:rsidR="0058753D" w:rsidRPr="00B54ACF" w:rsidRDefault="0058753D" w:rsidP="0058753D">
      <w:pPr>
        <w:pStyle w:val="Listenormale"/>
      </w:pPr>
      <w:r>
        <w:t>E</w:t>
      </w:r>
      <w:r w:rsidRPr="00B54ACF">
        <w:t>nsuite</w:t>
      </w:r>
      <w:r w:rsidR="00F03297">
        <w:t xml:space="preserve">, </w:t>
      </w:r>
      <w:r w:rsidR="00F03297" w:rsidRPr="00CE6DD2">
        <w:rPr>
          <w:b/>
        </w:rPr>
        <w:t>dans l’état d’acompte</w:t>
      </w:r>
      <w:r w:rsidR="00F03297">
        <w:t xml:space="preserve">, </w:t>
      </w:r>
      <w:r w:rsidR="00CE6DD2">
        <w:t>il est calculé</w:t>
      </w:r>
      <w:r w:rsidRPr="00B54ACF">
        <w:t xml:space="preserve"> la différence </w:t>
      </w:r>
      <w:r w:rsidR="00CE6DD2">
        <w:t xml:space="preserve">terme à terme </w:t>
      </w:r>
      <w:r w:rsidRPr="00B54ACF">
        <w:t>de</w:t>
      </w:r>
      <w:r w:rsidR="00F03297">
        <w:t>s</w:t>
      </w:r>
      <w:r w:rsidRPr="00B54ACF">
        <w:t xml:space="preserve"> sommes </w:t>
      </w:r>
      <w:r w:rsidR="00CE6DD2">
        <w:t xml:space="preserve">du décompte en cours par rapport au décompte précédent, ainsi que la différence entre les révisions ou actualisation de prix cumulées </w:t>
      </w:r>
      <w:r w:rsidR="00A12F00">
        <w:t>de l’état d’acompte en cours par rapport à l’état d’acompte précédent</w:t>
      </w:r>
      <w:r w:rsidR="00A12F00" w:rsidRPr="00B54ACF">
        <w:t xml:space="preserve">, </w:t>
      </w:r>
      <w:r w:rsidR="00F03297">
        <w:t xml:space="preserve">ainsi que leurs taxes, l’addition de </w:t>
      </w:r>
      <w:r w:rsidR="00254C49">
        <w:t xml:space="preserve">tous les termes résultant de cette soustraction </w:t>
      </w:r>
      <w:r w:rsidR="00F03297">
        <w:t>permettant d’o</w:t>
      </w:r>
      <w:r w:rsidRPr="00B54ACF">
        <w:t>btenir l’acompte à payer.</w:t>
      </w:r>
    </w:p>
    <w:p w:rsidR="0058753D" w:rsidRDefault="0058753D" w:rsidP="0058753D">
      <w:r>
        <w:t>En cas de sous-traitance :</w:t>
      </w:r>
    </w:p>
    <w:p w:rsidR="0058753D" w:rsidRDefault="00CE6DD2" w:rsidP="0058753D">
      <w:pPr>
        <w:pStyle w:val="Listenormale"/>
      </w:pPr>
      <w:r>
        <w:rPr>
          <w:b/>
        </w:rPr>
        <w:t xml:space="preserve">Dans le décompte, </w:t>
      </w:r>
      <w:r w:rsidR="0058753D">
        <w:t xml:space="preserve">il est </w:t>
      </w:r>
      <w:r w:rsidR="00F03297">
        <w:t>indiqué</w:t>
      </w:r>
      <w:r w:rsidR="0058753D">
        <w:t xml:space="preserve"> </w:t>
      </w:r>
      <w:r>
        <w:t>ce qui concerne chaque sous-traitant</w:t>
      </w:r>
      <w:r w:rsidR="00F03297">
        <w:t xml:space="preserve"> </w:t>
      </w:r>
      <w:r w:rsidR="0058753D">
        <w:t xml:space="preserve">: </w:t>
      </w:r>
      <w:r w:rsidRPr="00B54ACF">
        <w:t xml:space="preserve">avances, </w:t>
      </w:r>
      <w:r>
        <w:t xml:space="preserve">approvisionnements, </w:t>
      </w:r>
      <w:r w:rsidRPr="00B54ACF">
        <w:t>prestations exécutées,</w:t>
      </w:r>
      <w:r w:rsidR="0058753D">
        <w:t xml:space="preserve"> taxes, révision ou actualisation, </w:t>
      </w:r>
      <w:r w:rsidR="00F03297">
        <w:t xml:space="preserve">puis il en est déduit, poste à poste, par soustraction avec les sommes dues au titre de l’ensemble du marché, </w:t>
      </w:r>
      <w:r>
        <w:t>ce qui revient au titulaire</w:t>
      </w:r>
      <w:r w:rsidR="0058753D">
        <w:t>.</w:t>
      </w:r>
    </w:p>
    <w:p w:rsidR="0058753D" w:rsidRDefault="00F03297" w:rsidP="0058753D">
      <w:pPr>
        <w:pStyle w:val="Listenormale"/>
      </w:pPr>
      <w:r>
        <w:t>Pour</w:t>
      </w:r>
      <w:r w:rsidR="0058753D">
        <w:t xml:space="preserve"> chaque sous-traitant</w:t>
      </w:r>
      <w:r>
        <w:t>, dans un « </w:t>
      </w:r>
      <w:r w:rsidRPr="00F03297">
        <w:rPr>
          <w:b/>
        </w:rPr>
        <w:t>état des sommes dues</w:t>
      </w:r>
      <w:r>
        <w:rPr>
          <w:b/>
        </w:rPr>
        <w:t xml:space="preserve"> au sous-traitant</w:t>
      </w:r>
      <w:r>
        <w:t> » (équivalent à un état d’acompte, mais restreint au sous-traitant) il est calculé la différence terme à terme d</w:t>
      </w:r>
      <w:r w:rsidRPr="00B54ACF">
        <w:t xml:space="preserve">es sommes </w:t>
      </w:r>
      <w:r>
        <w:t xml:space="preserve">du décompte en cours par rapport au décompte précédent, ainsi que la différence entre les révisions ou actualisation de prix cumulées </w:t>
      </w:r>
      <w:r w:rsidR="00A12F00">
        <w:t>de l’état des sommes dues en cours par rapport à l’état des sommes dues précédent</w:t>
      </w:r>
      <w:r w:rsidR="00A12F00" w:rsidRPr="00B54ACF">
        <w:t xml:space="preserve">, </w:t>
      </w:r>
      <w:r>
        <w:t xml:space="preserve">ainsi que leurs taxes, l’addition de tous les termes résultant de cette soustraction permettant d’obtenir l’acompte à payer au </w:t>
      </w:r>
      <w:r w:rsidR="00921E88">
        <w:t>sous-traitant</w:t>
      </w:r>
      <w:r w:rsidR="0058753D">
        <w:t xml:space="preserve"> ;</w:t>
      </w:r>
    </w:p>
    <w:p w:rsidR="0058753D" w:rsidRPr="00CE6DD2" w:rsidRDefault="00F03297" w:rsidP="0058753D">
      <w:pPr>
        <w:pStyle w:val="Listenormale"/>
      </w:pPr>
      <w:r>
        <w:t>Dans un « </w:t>
      </w:r>
      <w:r w:rsidRPr="00F03297">
        <w:rPr>
          <w:b/>
        </w:rPr>
        <w:t>état des sommes dues au titulaire</w:t>
      </w:r>
      <w:r>
        <w:t> » (équivalent à un état d’acompte, mais restreint à ce qui reste au titulaire), i</w:t>
      </w:r>
      <w:r w:rsidR="00CE6DD2">
        <w:t>l est procédé à la détermination de</w:t>
      </w:r>
      <w:r w:rsidR="0058753D">
        <w:t xml:space="preserve"> ce qui reste au titulaire en </w:t>
      </w:r>
      <w:r>
        <w:t>calculant</w:t>
      </w:r>
      <w:r w:rsidR="0058753D">
        <w:t xml:space="preserve"> la </w:t>
      </w:r>
      <w:r>
        <w:t>différence terme à terme entre les postes de l’état d’acompte par rapport à l’ensemble des états des sommes dues des sous-traitants, l’addition de tous les termes résultant de cette soustraction permettant d’obtenir l’acompte à payer au titulaire.</w:t>
      </w:r>
    </w:p>
    <w:p w:rsidR="0058753D" w:rsidRDefault="0058753D" w:rsidP="00CE6DD2">
      <w:pPr>
        <w:pStyle w:val="Listenormale"/>
      </w:pPr>
      <w:r w:rsidRPr="00851EEA">
        <w:t>Nota : les sous-traitants ne sont concernés ni par les pénalités, ni par la retenue de garantie.</w:t>
      </w:r>
    </w:p>
    <w:p w:rsidR="00921E88" w:rsidRPr="00851EEA" w:rsidRDefault="00921E88" w:rsidP="00921E88">
      <w:r>
        <w:t>En cas de groupement titulaire du marché sans affectation de lot, les modalités de calcul ci-dessus relatives aux sous-traitants sont appliquées</w:t>
      </w:r>
      <w:r w:rsidR="00C8080F">
        <w:t xml:space="preserve"> en opérant les substitutions suivantes dans le descriptif :</w:t>
      </w:r>
      <w:r>
        <w:t xml:space="preserve"> le mandataire du groupement </w:t>
      </w:r>
      <w:r w:rsidR="00C8080F">
        <w:t>est</w:t>
      </w:r>
      <w:r>
        <w:t xml:space="preserve"> mis à la place du titulaire, et les cotraitants (ainsi que les éventuels sous-traitants du mandataire ou des cotraitants), </w:t>
      </w:r>
      <w:r w:rsidR="00C8080F">
        <w:t>sont</w:t>
      </w:r>
      <w:r>
        <w:t xml:space="preserve"> mis à la place des sous-traitants. Il en résulte un décompte global, un état d’acompte global, et des états des sommes dues au mandataire, aux cotraitants et aux sous-traitants.</w:t>
      </w:r>
    </w:p>
    <w:p w:rsidR="006E2DF0" w:rsidRDefault="00921E88" w:rsidP="00921E88">
      <w:r>
        <w:t>I</w:t>
      </w:r>
      <w:r w:rsidR="006E2DF0">
        <w:t xml:space="preserve">l n’y a aucune obligation de présenter un décompte chaque mois et </w:t>
      </w:r>
      <w:r w:rsidR="001D5DD3">
        <w:t xml:space="preserve">aucune </w:t>
      </w:r>
      <w:r w:rsidR="006E2DF0">
        <w:t>pénalité</w:t>
      </w:r>
      <w:r w:rsidR="001D5DD3">
        <w:t xml:space="preserve"> de non présentation de décompte ne s’applique</w:t>
      </w:r>
      <w:r>
        <w:t>, sauf demande explicite de la personne responsable du marché ou du maître d’œuvre de présenter un décompte dans un délai imparti qui est au minimum de 7 jours.</w:t>
      </w:r>
    </w:p>
    <w:p w:rsidR="00921E88" w:rsidRDefault="00921E88" w:rsidP="00921E88">
      <w:r>
        <w:t>L’acheteur public met à la disposition du titulaire les formulaires nécessaires de décompte, état d’acompte</w:t>
      </w:r>
      <w:r w:rsidR="00A12F00">
        <w:t>,</w:t>
      </w:r>
      <w:r>
        <w:t xml:space="preserve"> état des sommes dues</w:t>
      </w:r>
      <w:r w:rsidR="00A12F00">
        <w:t xml:space="preserve"> et annexes de calcul des variations de prix et remboursement d’avance</w:t>
      </w:r>
      <w:r>
        <w:t>.</w:t>
      </w:r>
    </w:p>
    <w:p w:rsidR="00A12F00" w:rsidRDefault="00A12F00" w:rsidP="00921E88">
      <w:r>
        <w:t>A titre d’exemple, un modèle complet est joint en annexe 3 au présent CCAP.</w:t>
      </w:r>
    </w:p>
    <w:p w:rsidR="005530E3" w:rsidRDefault="005530E3" w:rsidP="005530E3">
      <w:pPr>
        <w:pStyle w:val="3NIV3"/>
      </w:pPr>
      <w:bookmarkStart w:id="108" w:name="_Toc60044025"/>
      <w:bookmarkStart w:id="109" w:name="_Toc60319544"/>
      <w:r>
        <w:t xml:space="preserve">8.1.2.2 </w:t>
      </w:r>
      <w:proofErr w:type="gramStart"/>
      <w:r>
        <w:t>– Factures</w:t>
      </w:r>
      <w:bookmarkEnd w:id="108"/>
      <w:bookmarkEnd w:id="109"/>
      <w:proofErr w:type="gramEnd"/>
    </w:p>
    <w:p w:rsidR="005530E3" w:rsidRDefault="005530E3" w:rsidP="005530E3">
      <w:r>
        <w:t>Sans objet.</w:t>
      </w:r>
    </w:p>
    <w:p w:rsidR="00DA3AE2" w:rsidRDefault="00386F03" w:rsidP="007C6FF6">
      <w:pPr>
        <w:pStyle w:val="1NIV1"/>
      </w:pPr>
      <w:bookmarkStart w:id="110" w:name="_Toc60319545"/>
      <w:r>
        <w:t>8.</w:t>
      </w:r>
      <w:r w:rsidR="00921E88">
        <w:t>2</w:t>
      </w:r>
      <w:r w:rsidR="00856A0D">
        <w:t xml:space="preserve"> – VARIATION DES PRIX</w:t>
      </w:r>
      <w:bookmarkEnd w:id="110"/>
    </w:p>
    <w:p w:rsidR="009F1C69" w:rsidRDefault="00386F03" w:rsidP="007C6FF6">
      <w:pPr>
        <w:pStyle w:val="2NIV2"/>
      </w:pPr>
      <w:bookmarkStart w:id="111" w:name="_Toc47515360"/>
      <w:bookmarkStart w:id="112" w:name="_Toc60319546"/>
      <w:r>
        <w:t>8.</w:t>
      </w:r>
      <w:r w:rsidR="00921E88">
        <w:t>2</w:t>
      </w:r>
      <w:r w:rsidR="00DA3AE2">
        <w:t>.1</w:t>
      </w:r>
      <w:r w:rsidR="009F1C69">
        <w:t xml:space="preserve"> – </w:t>
      </w:r>
      <w:r w:rsidR="00BE1B67">
        <w:t>Actualis</w:t>
      </w:r>
      <w:r w:rsidR="009F1C69">
        <w:t>ation des prix</w:t>
      </w:r>
      <w:bookmarkEnd w:id="111"/>
      <w:r w:rsidR="009B2F51">
        <w:t xml:space="preserve"> fermes</w:t>
      </w:r>
      <w:r w:rsidR="006E07C0">
        <w:t xml:space="preserve"> – </w:t>
      </w:r>
      <w:r w:rsidR="00DD06E1">
        <w:t>lorsque</w:t>
      </w:r>
      <w:r w:rsidR="006E07C0">
        <w:t xml:space="preserve"> la durée d’exécution est inférieure à 6 mois</w:t>
      </w:r>
      <w:bookmarkEnd w:id="112"/>
    </w:p>
    <w:p w:rsidR="00BE1B67" w:rsidRDefault="00555941" w:rsidP="00BE1B67">
      <w:pPr>
        <w:pStyle w:val="NormalX"/>
      </w:pPr>
      <w:sdt>
        <w:sdtPr>
          <w:id w:val="1277060818"/>
          <w14:checkbox>
            <w14:checked w14:val="0"/>
            <w14:checkedState w14:val="2612" w14:font="MS Gothic"/>
            <w14:uncheckedState w14:val="2610" w14:font="MS Gothic"/>
          </w14:checkbox>
        </w:sdtPr>
        <w:sdtEndPr/>
        <w:sdtContent>
          <w:r w:rsidR="00BE1B67">
            <w:rPr>
              <w:rFonts w:ascii="MS Gothic" w:eastAsia="MS Gothic" w:hAnsi="MS Gothic" w:hint="eastAsia"/>
            </w:rPr>
            <w:t>☐</w:t>
          </w:r>
        </w:sdtContent>
      </w:sdt>
      <w:r w:rsidR="00BE1B67">
        <w:t xml:space="preserve"> Sans objet.</w:t>
      </w:r>
    </w:p>
    <w:p w:rsidR="00BE1B67" w:rsidRDefault="00555941" w:rsidP="00BE1B67">
      <w:pPr>
        <w:pStyle w:val="NormalX"/>
      </w:pPr>
      <w:sdt>
        <w:sdtPr>
          <w:id w:val="-597101688"/>
          <w14:checkbox>
            <w14:checked w14:val="0"/>
            <w14:checkedState w14:val="2612" w14:font="MS Gothic"/>
            <w14:uncheckedState w14:val="2610" w14:font="MS Gothic"/>
          </w14:checkbox>
        </w:sdtPr>
        <w:sdtEndPr/>
        <w:sdtContent>
          <w:r w:rsidR="00BE1B67" w:rsidRPr="001E1B5D">
            <w:rPr>
              <w:rFonts w:eastAsia="MS Gothic" w:hint="eastAsia"/>
            </w:rPr>
            <w:t>☐</w:t>
          </w:r>
        </w:sdtContent>
      </w:sdt>
      <w:r w:rsidR="00BE1B67">
        <w:t xml:space="preserve"> La date d’établissement des prix est réputée être le </w:t>
      </w:r>
      <w:r w:rsidR="00DD06E1">
        <w:t>dernier</w:t>
      </w:r>
      <w:r w:rsidR="00BE1B67">
        <w:t xml:space="preserve"> jour du mois </w:t>
      </w:r>
      <w:r w:rsidR="00BE1B67" w:rsidRPr="00BE1B67">
        <w:t>Mo</w:t>
      </w:r>
      <w:r w:rsidR="00BE1B67" w:rsidRPr="00AC6EC8">
        <w:t xml:space="preserve"> d’établissement des prix </w:t>
      </w:r>
      <w:r w:rsidR="00BE1B67">
        <w:t>précisé à l’article 2 de l’acte d’engagement</w:t>
      </w:r>
      <w:r w:rsidR="00BE1B67" w:rsidRPr="00AC6EC8">
        <w:t>.</w:t>
      </w:r>
    </w:p>
    <w:p w:rsidR="00BE1B67" w:rsidRDefault="00BE1B67" w:rsidP="00BE1B67">
      <w:r>
        <w:t xml:space="preserve">Lorsqu’un délai supérieur à trois mois s’écoule entre la date d’établissement des prix et la date de début d’exécution des prestations telle que prescrite </w:t>
      </w:r>
      <w:r w:rsidR="006E07C0">
        <w:t>dans le cadre</w:t>
      </w:r>
      <w:r>
        <w:t xml:space="preserve"> </w:t>
      </w:r>
      <w:r w:rsidR="006E07C0">
        <w:t>du</w:t>
      </w:r>
      <w:r>
        <w:t xml:space="preserve"> marché, les prix du marché sont actualisés aux conditions économiques du mois correspondant à la date antérieure de trois mois à la date de début d’exécution des prestations, selon la formule suivante :</w:t>
      </w:r>
    </w:p>
    <w:p w:rsidR="00DD06E1" w:rsidRDefault="00BE1B67" w:rsidP="006E07C0">
      <w:r>
        <w:t>P = Po x I (d-3) / Io</w:t>
      </w:r>
    </w:p>
    <w:p w:rsidR="00BE1B67" w:rsidRDefault="00DD06E1" w:rsidP="006E07C0">
      <w:r>
        <w:t>A</w:t>
      </w:r>
      <w:r w:rsidR="00BE1B67">
        <w:t>vec :</w:t>
      </w:r>
    </w:p>
    <w:p w:rsidR="00BE1B67" w:rsidRDefault="00BE1B67" w:rsidP="00265B3E">
      <w:pPr>
        <w:pStyle w:val="Listenormale"/>
      </w:pPr>
      <w:r>
        <w:t xml:space="preserve">Po : </w:t>
      </w:r>
      <w:r>
        <w:tab/>
        <w:t>prix initial</w:t>
      </w:r>
    </w:p>
    <w:p w:rsidR="00BE1B67" w:rsidRDefault="00BE1B67" w:rsidP="00265B3E">
      <w:pPr>
        <w:pStyle w:val="Listenormale"/>
      </w:pPr>
      <w:r>
        <w:t xml:space="preserve">P : </w:t>
      </w:r>
      <w:r>
        <w:tab/>
        <w:t>prix actualisé, à utiliser dans tous les documents de paiement</w:t>
      </w:r>
    </w:p>
    <w:p w:rsidR="00BE1B67" w:rsidRDefault="00BE1B67" w:rsidP="00265B3E">
      <w:pPr>
        <w:pStyle w:val="Listenormale"/>
      </w:pPr>
      <w:r>
        <w:t xml:space="preserve">Io : </w:t>
      </w:r>
      <w:r>
        <w:tab/>
        <w:t>valeur de l’index de référence au mois correspondant à la date d’établissement des prix</w:t>
      </w:r>
    </w:p>
    <w:p w:rsidR="00BE1B67" w:rsidRDefault="00BE1B67" w:rsidP="00265B3E">
      <w:pPr>
        <w:pStyle w:val="Listenormale"/>
      </w:pPr>
      <w:r>
        <w:t>I (d-3) : valeur de l’index de référence trois mois avant la date de début d’exécution des prestations.</w:t>
      </w:r>
    </w:p>
    <w:p w:rsidR="00A17B0F" w:rsidRDefault="00A17B0F" w:rsidP="00A17B0F">
      <w:r>
        <w:t>Le bordereau des prix unitaires, ou un extrait de ce document concernant les prix facturés, est mis à jour avec les prix actualisés.</w:t>
      </w:r>
    </w:p>
    <w:p w:rsidR="00560080" w:rsidRDefault="00560080" w:rsidP="00560080">
      <w:r>
        <w:t>Le document mis à jour est joint à toute demande de paiement comme justificatif des prix actualisés.</w:t>
      </w:r>
    </w:p>
    <w:p w:rsidR="00560080" w:rsidRDefault="00560080" w:rsidP="00560080">
      <w:r>
        <w:t>Si un avenant contractualise la mise à jour des prix par actualisation, ce document n’a plus à être joint aux demandes de paiement.</w:t>
      </w:r>
    </w:p>
    <w:p w:rsidR="009B2F51" w:rsidRDefault="00386F03" w:rsidP="007C6FF6">
      <w:pPr>
        <w:pStyle w:val="2NIV2"/>
      </w:pPr>
      <w:bookmarkStart w:id="113" w:name="_Toc60319547"/>
      <w:r>
        <w:t>8.</w:t>
      </w:r>
      <w:r w:rsidR="00921E88">
        <w:t>2</w:t>
      </w:r>
      <w:r w:rsidR="00DA3AE2">
        <w:t>.2</w:t>
      </w:r>
      <w:r w:rsidR="009B2F51">
        <w:t xml:space="preserve"> – Révision des prix</w:t>
      </w:r>
      <w:r w:rsidR="00A17B0F">
        <w:t>– lorsque la durée d’exécution est supérieure ou égale à 6 mois</w:t>
      </w:r>
      <w:bookmarkEnd w:id="113"/>
    </w:p>
    <w:p w:rsidR="009B2F51" w:rsidRDefault="00555941" w:rsidP="009B2F51">
      <w:pPr>
        <w:pStyle w:val="NormalX"/>
      </w:pPr>
      <w:sdt>
        <w:sdtPr>
          <w:id w:val="-559639568"/>
          <w14:checkbox>
            <w14:checked w14:val="0"/>
            <w14:checkedState w14:val="2612" w14:font="MS Gothic"/>
            <w14:uncheckedState w14:val="2610" w14:font="MS Gothic"/>
          </w14:checkbox>
        </w:sdtPr>
        <w:sdtEndPr/>
        <w:sdtContent>
          <w:r w:rsidR="009B2F51">
            <w:rPr>
              <w:rFonts w:ascii="MS Gothic" w:eastAsia="MS Gothic" w:hAnsi="MS Gothic" w:hint="eastAsia"/>
            </w:rPr>
            <w:t>☐</w:t>
          </w:r>
        </w:sdtContent>
      </w:sdt>
      <w:r w:rsidR="009B2F51">
        <w:t xml:space="preserve"> Sans objet.</w:t>
      </w:r>
    </w:p>
    <w:p w:rsidR="009B2F51" w:rsidRDefault="00555941" w:rsidP="00AA2E2D">
      <w:pPr>
        <w:pStyle w:val="NormalX"/>
      </w:pPr>
      <w:sdt>
        <w:sdtPr>
          <w:id w:val="-1407604368"/>
          <w14:checkbox>
            <w14:checked w14:val="0"/>
            <w14:checkedState w14:val="2612" w14:font="MS Gothic"/>
            <w14:uncheckedState w14:val="2610" w14:font="MS Gothic"/>
          </w14:checkbox>
        </w:sdtPr>
        <w:sdtEndPr/>
        <w:sdtContent>
          <w:r w:rsidR="009B2F51" w:rsidRPr="001E1B5D">
            <w:rPr>
              <w:rFonts w:eastAsia="MS Gothic" w:hint="eastAsia"/>
            </w:rPr>
            <w:t>☐</w:t>
          </w:r>
        </w:sdtContent>
      </w:sdt>
      <w:r w:rsidR="009B2F51">
        <w:t xml:space="preserve"> La date d’établissement des prix est réputée être le dernier jour du mois </w:t>
      </w:r>
      <w:r w:rsidR="009B2F51" w:rsidRPr="00BE1B67">
        <w:t>Mo</w:t>
      </w:r>
      <w:r w:rsidR="009B2F51" w:rsidRPr="00AC6EC8">
        <w:t xml:space="preserve"> d’établissement des prix </w:t>
      </w:r>
      <w:r w:rsidR="009B2F51">
        <w:t>précisé à l’article 2 de l’acte d’engagement</w:t>
      </w:r>
      <w:r w:rsidR="009B2F51" w:rsidRPr="00AC6EC8">
        <w:t>.</w:t>
      </w:r>
    </w:p>
    <w:p w:rsidR="009B2F51" w:rsidRPr="006E07C0" w:rsidRDefault="009B2F51" w:rsidP="009B2F51">
      <w:pPr>
        <w:spacing w:line="245" w:lineRule="auto"/>
        <w:rPr>
          <w:bCs/>
          <w:iCs/>
          <w:kern w:val="28"/>
        </w:rPr>
      </w:pPr>
      <w:r w:rsidRPr="006E07C0">
        <w:rPr>
          <w:bCs/>
          <w:iCs/>
          <w:kern w:val="28"/>
        </w:rPr>
        <w:t>Chaque acompte est révisé aux conditions économiques du mois correspondant à la date d’arrêt des prestations exécutées donnant lieu à l’acompte, par application d’un coefficient C selon les formules suivantes :</w:t>
      </w:r>
    </w:p>
    <w:p w:rsidR="009B2F51" w:rsidRPr="006E07C0" w:rsidRDefault="009B2F51" w:rsidP="009B2F51">
      <w:pPr>
        <w:spacing w:line="245" w:lineRule="auto"/>
        <w:rPr>
          <w:bCs/>
          <w:iCs/>
          <w:kern w:val="28"/>
          <w:lang w:val="en-US"/>
        </w:rPr>
      </w:pPr>
      <w:r w:rsidRPr="006E07C0">
        <w:rPr>
          <w:bCs/>
          <w:iCs/>
          <w:kern w:val="28"/>
          <w:lang w:val="en-US"/>
        </w:rPr>
        <w:t>F = 0</w:t>
      </w:r>
      <w:proofErr w:type="gramStart"/>
      <w:r w:rsidRPr="006E07C0">
        <w:rPr>
          <w:bCs/>
          <w:iCs/>
          <w:kern w:val="28"/>
          <w:lang w:val="en-US"/>
        </w:rPr>
        <w:t>,85</w:t>
      </w:r>
      <w:proofErr w:type="gramEnd"/>
      <w:r w:rsidRPr="006E07C0">
        <w:rPr>
          <w:bCs/>
          <w:iCs/>
          <w:kern w:val="28"/>
          <w:lang w:val="en-US"/>
        </w:rPr>
        <w:t xml:space="preserve"> x I / Io + 0,15    </w:t>
      </w:r>
    </w:p>
    <w:p w:rsidR="009B2F51" w:rsidRPr="006E07C0" w:rsidRDefault="009B2F51" w:rsidP="009B2F51">
      <w:pPr>
        <w:spacing w:line="245" w:lineRule="auto"/>
        <w:rPr>
          <w:bCs/>
          <w:iCs/>
          <w:kern w:val="28"/>
          <w:lang w:val="en-US"/>
        </w:rPr>
      </w:pPr>
      <w:r w:rsidRPr="006E07C0">
        <w:rPr>
          <w:bCs/>
          <w:iCs/>
          <w:kern w:val="28"/>
          <w:lang w:val="en-US"/>
        </w:rPr>
        <w:t>C = F – 1</w:t>
      </w:r>
      <w:r w:rsidRPr="006E07C0">
        <w:rPr>
          <w:bCs/>
          <w:iCs/>
          <w:kern w:val="28"/>
          <w:lang w:val="en-US"/>
        </w:rPr>
        <w:tab/>
      </w:r>
      <w:r w:rsidRPr="006E07C0">
        <w:rPr>
          <w:bCs/>
          <w:iCs/>
          <w:kern w:val="28"/>
          <w:lang w:val="en-US"/>
        </w:rPr>
        <w:tab/>
      </w:r>
      <w:proofErr w:type="gramStart"/>
      <w:r w:rsidRPr="006E07C0">
        <w:rPr>
          <w:bCs/>
          <w:iCs/>
          <w:kern w:val="28"/>
          <w:lang w:val="en-US"/>
        </w:rPr>
        <w:t>Avec :</w:t>
      </w:r>
      <w:proofErr w:type="gramEnd"/>
    </w:p>
    <w:p w:rsidR="009B2F51" w:rsidRPr="006E07C0" w:rsidRDefault="009B2F51" w:rsidP="00265B3E">
      <w:pPr>
        <w:pStyle w:val="Listenormale"/>
      </w:pPr>
      <w:r w:rsidRPr="006E07C0">
        <w:t>Io : valeur de l’index de référence au mois correspondant à la date d’établissement des prix</w:t>
      </w:r>
    </w:p>
    <w:p w:rsidR="009B2F51" w:rsidRPr="006E07C0" w:rsidRDefault="009B2F51" w:rsidP="00265B3E">
      <w:pPr>
        <w:pStyle w:val="Listenormale"/>
      </w:pPr>
      <w:r w:rsidRPr="006E07C0">
        <w:t xml:space="preserve">I : valeur de l’index de référence au mois correspondant à la date d’arrêt des prestations donnant lieu à l’acompte. </w:t>
      </w:r>
    </w:p>
    <w:p w:rsidR="009B2F51" w:rsidRPr="006E07C0" w:rsidRDefault="009B2F51" w:rsidP="009B2F51">
      <w:pPr>
        <w:spacing w:line="245" w:lineRule="auto"/>
        <w:rPr>
          <w:bCs/>
          <w:iCs/>
          <w:kern w:val="28"/>
        </w:rPr>
      </w:pPr>
      <w:r w:rsidRPr="006E07C0">
        <w:rPr>
          <w:bCs/>
          <w:iCs/>
          <w:kern w:val="28"/>
        </w:rPr>
        <w:t>F est tronqué à la 4è décimale, puis est arrondi au millième supérieur.</w:t>
      </w:r>
    </w:p>
    <w:p w:rsidR="009B2F51" w:rsidRDefault="009B2F51" w:rsidP="009B2F51">
      <w:pPr>
        <w:spacing w:line="245" w:lineRule="auto"/>
        <w:rPr>
          <w:bCs/>
          <w:iCs/>
          <w:kern w:val="28"/>
        </w:rPr>
      </w:pPr>
      <w:r w:rsidRPr="006E07C0">
        <w:rPr>
          <w:bCs/>
          <w:iCs/>
          <w:kern w:val="28"/>
        </w:rPr>
        <w:t>L’acompte révisé est arrondi à l’entier le plus proche.</w:t>
      </w:r>
    </w:p>
    <w:p w:rsidR="00DD06E1" w:rsidRDefault="00386F03" w:rsidP="007C6FF6">
      <w:pPr>
        <w:pStyle w:val="2NIV2"/>
      </w:pPr>
      <w:bookmarkStart w:id="114" w:name="_Toc60319548"/>
      <w:r>
        <w:t>8.</w:t>
      </w:r>
      <w:r w:rsidR="00DC2EF5">
        <w:t>2</w:t>
      </w:r>
      <w:r w:rsidR="00DA3AE2">
        <w:t>.</w:t>
      </w:r>
      <w:r w:rsidR="007C6FF6">
        <w:t>3</w:t>
      </w:r>
      <w:r w:rsidR="00DD06E1">
        <w:t xml:space="preserve"> – Indice de référence</w:t>
      </w:r>
      <w:bookmarkEnd w:id="114"/>
    </w:p>
    <w:p w:rsidR="00DD06E1" w:rsidRDefault="00DD06E1" w:rsidP="00DD06E1">
      <w:r>
        <w:t>Pour l’application des formules d’actualisation ou de révision des prix ci-dessus, l’indice de référence est :</w:t>
      </w:r>
    </w:p>
    <w:p w:rsidR="00DD06E1" w:rsidRDefault="00555941" w:rsidP="00B63DE9">
      <w:pPr>
        <w:pStyle w:val="Listenormale"/>
      </w:pPr>
      <w:sdt>
        <w:sdtPr>
          <w:id w:val="-2102948283"/>
          <w14:checkbox>
            <w14:checked w14:val="0"/>
            <w14:checkedState w14:val="2612" w14:font="MS Gothic"/>
            <w14:uncheckedState w14:val="2610" w14:font="MS Gothic"/>
          </w14:checkbox>
        </w:sdtPr>
        <w:sdtEndPr/>
        <w:sdtContent>
          <w:r w:rsidR="00DD06E1">
            <w:rPr>
              <w:rFonts w:ascii="MS Gothic" w:eastAsia="MS Gothic" w:hAnsi="MS Gothic" w:hint="eastAsia"/>
            </w:rPr>
            <w:t>☐</w:t>
          </w:r>
        </w:sdtContent>
      </w:sdt>
      <w:r w:rsidR="00DD06E1">
        <w:t xml:space="preserve"> l’index « …………. » </w:t>
      </w:r>
      <w:r w:rsidR="009B2F51">
        <w:t xml:space="preserve">figurant parmi les index du bâtiment et des travaux publics </w:t>
      </w:r>
      <w:r w:rsidR="00DD06E1">
        <w:t>publié</w:t>
      </w:r>
      <w:r w:rsidR="009B2F51">
        <w:t>s</w:t>
      </w:r>
      <w:r w:rsidR="00DD06E1">
        <w:t xml:space="preserve"> par l’ISEE Nouvelle-Calédonie ;</w:t>
      </w:r>
    </w:p>
    <w:p w:rsidR="006C271F" w:rsidRDefault="00555941" w:rsidP="006C271F">
      <w:pPr>
        <w:pStyle w:val="Listenormale"/>
      </w:pPr>
      <w:sdt>
        <w:sdtPr>
          <w:id w:val="444657258"/>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l’indice officiel « ……………….. » publié par ……………………………. ;</w:t>
      </w:r>
    </w:p>
    <w:p w:rsidR="006C271F" w:rsidRDefault="00555941" w:rsidP="006C271F">
      <w:pPr>
        <w:pStyle w:val="Listenormale"/>
      </w:pPr>
      <w:sdt>
        <w:sdtPr>
          <w:id w:val="616488145"/>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un indice composite, composé des indices officiels suivants :</w:t>
      </w:r>
    </w:p>
    <w:tbl>
      <w:tblPr>
        <w:tblStyle w:val="Grilledutableau"/>
        <w:tblW w:w="7087" w:type="dxa"/>
        <w:tblInd w:w="2093" w:type="dxa"/>
        <w:tblLook w:val="04A0" w:firstRow="1" w:lastRow="0" w:firstColumn="1" w:lastColumn="0" w:noHBand="0" w:noVBand="1"/>
      </w:tblPr>
      <w:tblGrid>
        <w:gridCol w:w="4536"/>
        <w:gridCol w:w="2551"/>
      </w:tblGrid>
      <w:tr w:rsidR="006C271F" w:rsidTr="004A0DC6">
        <w:tc>
          <w:tcPr>
            <w:tcW w:w="4536" w:type="dxa"/>
          </w:tcPr>
          <w:p w:rsidR="006C271F" w:rsidRDefault="006C271F" w:rsidP="004A0DC6">
            <w:pPr>
              <w:ind w:left="34"/>
              <w:jc w:val="center"/>
            </w:pPr>
            <w:r>
              <w:t>Indice de référence</w:t>
            </w:r>
          </w:p>
        </w:tc>
        <w:tc>
          <w:tcPr>
            <w:tcW w:w="2551" w:type="dxa"/>
          </w:tcPr>
          <w:p w:rsidR="006C271F" w:rsidRDefault="006C271F" w:rsidP="004A0DC6">
            <w:pPr>
              <w:ind w:left="0"/>
              <w:jc w:val="center"/>
            </w:pPr>
            <w:r>
              <w:t>Pondération (%)</w:t>
            </w:r>
          </w:p>
        </w:tc>
      </w:tr>
      <w:tr w:rsidR="006C271F" w:rsidTr="004A0DC6">
        <w:tc>
          <w:tcPr>
            <w:tcW w:w="4536" w:type="dxa"/>
          </w:tcPr>
          <w:p w:rsidR="006C271F" w:rsidRDefault="006C271F" w:rsidP="004A0DC6"/>
        </w:tc>
        <w:tc>
          <w:tcPr>
            <w:tcW w:w="2551" w:type="dxa"/>
          </w:tcPr>
          <w:p w:rsidR="006C271F" w:rsidRDefault="006C271F" w:rsidP="004A0DC6"/>
        </w:tc>
      </w:tr>
      <w:tr w:rsidR="006C271F" w:rsidTr="004A0DC6">
        <w:tc>
          <w:tcPr>
            <w:tcW w:w="4536" w:type="dxa"/>
          </w:tcPr>
          <w:p w:rsidR="006C271F" w:rsidRDefault="006C271F" w:rsidP="004A0DC6"/>
        </w:tc>
        <w:tc>
          <w:tcPr>
            <w:tcW w:w="2551" w:type="dxa"/>
          </w:tcPr>
          <w:p w:rsidR="006C271F" w:rsidRDefault="006C271F" w:rsidP="004A0DC6"/>
        </w:tc>
      </w:tr>
    </w:tbl>
    <w:p w:rsidR="006C271F" w:rsidRDefault="00555941" w:rsidP="006C271F">
      <w:pPr>
        <w:pStyle w:val="Listenormale"/>
      </w:pPr>
      <w:sdt>
        <w:sdtPr>
          <w:id w:val="319159414"/>
          <w14:checkbox>
            <w14:checked w14:val="0"/>
            <w14:checkedState w14:val="2612" w14:font="MS Gothic"/>
            <w14:uncheckedState w14:val="2610" w14:font="MS Gothic"/>
          </w14:checkbox>
        </w:sdtPr>
        <w:sdtEndPr/>
        <w:sdtContent>
          <w:r w:rsidR="006C271F">
            <w:rPr>
              <w:rFonts w:ascii="MS Gothic" w:eastAsia="MS Gothic" w:hAnsi="MS Gothic" w:hint="eastAsia"/>
            </w:rPr>
            <w:t>☐</w:t>
          </w:r>
        </w:sdtContent>
      </w:sdt>
      <w:r w:rsidR="006C271F">
        <w:t xml:space="preserve"> celui indiqué dans le tableau suivant pour chacun des lots :</w:t>
      </w:r>
    </w:p>
    <w:tbl>
      <w:tblPr>
        <w:tblStyle w:val="Grilledutableau"/>
        <w:tblW w:w="7087" w:type="dxa"/>
        <w:tblInd w:w="2093" w:type="dxa"/>
        <w:tblLook w:val="04A0" w:firstRow="1" w:lastRow="0" w:firstColumn="1" w:lastColumn="0" w:noHBand="0" w:noVBand="1"/>
      </w:tblPr>
      <w:tblGrid>
        <w:gridCol w:w="2268"/>
        <w:gridCol w:w="4819"/>
      </w:tblGrid>
      <w:tr w:rsidR="006C271F" w:rsidTr="004A0DC6">
        <w:tc>
          <w:tcPr>
            <w:tcW w:w="2268" w:type="dxa"/>
          </w:tcPr>
          <w:p w:rsidR="006C271F" w:rsidRDefault="006C271F" w:rsidP="004A0DC6">
            <w:pPr>
              <w:ind w:left="34"/>
              <w:jc w:val="center"/>
            </w:pPr>
            <w:r>
              <w:t>Lot</w:t>
            </w:r>
          </w:p>
        </w:tc>
        <w:tc>
          <w:tcPr>
            <w:tcW w:w="4819" w:type="dxa"/>
          </w:tcPr>
          <w:p w:rsidR="006C271F" w:rsidRDefault="006C271F" w:rsidP="004A0DC6">
            <w:pPr>
              <w:ind w:left="0"/>
              <w:jc w:val="center"/>
            </w:pPr>
            <w:r>
              <w:t>Indice de référence</w:t>
            </w:r>
          </w:p>
        </w:tc>
      </w:tr>
      <w:tr w:rsidR="006C271F" w:rsidTr="004A0DC6">
        <w:tc>
          <w:tcPr>
            <w:tcW w:w="2268" w:type="dxa"/>
          </w:tcPr>
          <w:p w:rsidR="006C271F" w:rsidRDefault="006C271F" w:rsidP="004A0DC6"/>
        </w:tc>
        <w:tc>
          <w:tcPr>
            <w:tcW w:w="4819" w:type="dxa"/>
          </w:tcPr>
          <w:p w:rsidR="006C271F" w:rsidRDefault="006C271F" w:rsidP="004A0DC6"/>
        </w:tc>
      </w:tr>
      <w:tr w:rsidR="006C271F" w:rsidTr="004A0DC6">
        <w:tc>
          <w:tcPr>
            <w:tcW w:w="2268" w:type="dxa"/>
          </w:tcPr>
          <w:p w:rsidR="006C271F" w:rsidRDefault="006C271F" w:rsidP="004A0DC6"/>
        </w:tc>
        <w:tc>
          <w:tcPr>
            <w:tcW w:w="4819" w:type="dxa"/>
          </w:tcPr>
          <w:p w:rsidR="006C271F" w:rsidRDefault="006C271F" w:rsidP="004A0DC6"/>
        </w:tc>
      </w:tr>
    </w:tbl>
    <w:p w:rsidR="00D23859" w:rsidRPr="00DA3AE2" w:rsidRDefault="00386F03" w:rsidP="007C6FF6">
      <w:pPr>
        <w:pStyle w:val="2NIV2"/>
      </w:pPr>
      <w:bookmarkStart w:id="115" w:name="_Toc60319549"/>
      <w:r>
        <w:t>8.</w:t>
      </w:r>
      <w:r w:rsidR="00DC2EF5">
        <w:t>2</w:t>
      </w:r>
      <w:r w:rsidR="00DA3AE2" w:rsidRPr="00DA3AE2">
        <w:t>.</w:t>
      </w:r>
      <w:r w:rsidR="007C6FF6">
        <w:t>4</w:t>
      </w:r>
      <w:r w:rsidR="00DA3AE2" w:rsidRPr="00DA3AE2">
        <w:t xml:space="preserve"> – Actualisation ou révision provisoire</w:t>
      </w:r>
      <w:bookmarkEnd w:id="115"/>
    </w:p>
    <w:p w:rsidR="00D23859" w:rsidRDefault="00DA3AE2" w:rsidP="00DA3AE2">
      <w:r>
        <w:t>Conformément à l’article 63 de la délibération n° 424 du 20 mars 2019 :</w:t>
      </w:r>
    </w:p>
    <w:p w:rsidR="00DA3AE2" w:rsidRDefault="00DA3AE2" w:rsidP="00DA3AE2">
      <w:pPr>
        <w:pStyle w:val="Listenormale"/>
      </w:pPr>
      <w:r>
        <w:t>Lorsque le marché comporte une clause de révision des prix, la révision du prix initial doit être opérée sur le montant de chaque acompte lorsque les paramètres définitifs de révision sont connus, puis en fin de marché, sur le montant du paiement pour solde.</w:t>
      </w:r>
    </w:p>
    <w:p w:rsidR="00DA3AE2" w:rsidRDefault="00DA3AE2" w:rsidP="00DA3AE2">
      <w:pPr>
        <w:pStyle w:val="Listenormale"/>
      </w:pPr>
      <w:r>
        <w:t>Le titulaire d’un marché peut obtenir sur sa demande écrite que l’ensemble des clauses de variation de prix ne soit appliqué que sur le dernier paiement du marché.</w:t>
      </w:r>
    </w:p>
    <w:p w:rsidR="00DA3AE2" w:rsidRDefault="00DA3AE2" w:rsidP="00DA3AE2">
      <w:r>
        <w:t>En conséquence, il n’est pratiqué aucune actualisation ni révision des prix provisoire.</w:t>
      </w:r>
    </w:p>
    <w:p w:rsidR="00C375B8" w:rsidRDefault="00C375B8" w:rsidP="00C375B8">
      <w:pPr>
        <w:pStyle w:val="1NIV1"/>
      </w:pPr>
      <w:bookmarkStart w:id="116" w:name="_Toc60156453"/>
      <w:bookmarkStart w:id="117" w:name="_Toc60244007"/>
      <w:bookmarkStart w:id="118" w:name="_Toc60319550"/>
      <w:r>
        <w:t>8.3 – ACOMPTES SUR APPROVISIONNEMENTS</w:t>
      </w:r>
      <w:bookmarkEnd w:id="116"/>
      <w:bookmarkEnd w:id="117"/>
      <w:bookmarkEnd w:id="118"/>
    </w:p>
    <w:p w:rsidR="00C375B8" w:rsidRDefault="00555941" w:rsidP="00C375B8">
      <w:pPr>
        <w:pStyle w:val="NormalX"/>
      </w:pPr>
      <w:sdt>
        <w:sdtPr>
          <w:id w:val="-820812634"/>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Sans objet.</w:t>
      </w:r>
    </w:p>
    <w:p w:rsidR="00C375B8" w:rsidRDefault="00555941" w:rsidP="00C375B8">
      <w:pPr>
        <w:pStyle w:val="NormalX"/>
      </w:pPr>
      <w:sdt>
        <w:sdtPr>
          <w:id w:val="-1638563646"/>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Des acomptes sur approvisionnements peuvent être réglés au titulaire dans les conditions et sous réserve des garanties suivantes (plusieurs cases à cocher) :</w:t>
      </w:r>
    </w:p>
    <w:p w:rsidR="00C375B8" w:rsidRDefault="00555941" w:rsidP="00C375B8">
      <w:pPr>
        <w:pStyle w:val="ListeX"/>
      </w:pPr>
      <w:sdt>
        <w:sdtPr>
          <w:id w:val="-711190323"/>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Dépôt sur le chantier, annexe, usine ou atelier en Nouvelle Calédonie, des approvisionnements concernés (matériaux, matières premières, objets fabriqués, etc...) destinés à entrer dans la composition des fournitures. Ils seront dûment étiquetés avec la mention "</w:t>
      </w:r>
      <w:r w:rsidR="00C375B8" w:rsidRPr="00704166">
        <w:t xml:space="preserve"> </w:t>
      </w:r>
      <w:r w:rsidR="00C375B8">
        <w:t>Approvisionnements affectés aux travaux de …….  pour le compte de …….. " et seront facilement identifiables par le référent du marché. Tous frais éventuels de colisage, d'entreposage et de gardiennage restent à la charge de l'entreprise.</w:t>
      </w:r>
    </w:p>
    <w:p w:rsidR="00C375B8" w:rsidRDefault="00555941" w:rsidP="00C375B8">
      <w:pPr>
        <w:pStyle w:val="ListeX"/>
      </w:pPr>
      <w:sdt>
        <w:sdtPr>
          <w:id w:val="-927806949"/>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Production par le bénéficiaire de l'acompte d'une assurance contre le vol, l'incendie, les détériorations diverses, couvrant la valeur totale des approvisionnements concernés, pour la durée du dépôt, et spécifiant que dans l'hypothèse du recours à cette assurance, le paiement de la franchise reste à la charge du bénéficiaire de l'acompte.</w:t>
      </w:r>
    </w:p>
    <w:p w:rsidR="00C375B8" w:rsidRDefault="00555941" w:rsidP="00C375B8">
      <w:pPr>
        <w:pStyle w:val="ListeX"/>
      </w:pPr>
      <w:sdt>
        <w:sdtPr>
          <w:id w:val="-1025715959"/>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Production d'une caution personnelle et solidaire couvrant la valeur totale des approvisionnements.</w:t>
      </w:r>
    </w:p>
    <w:p w:rsidR="00C375B8" w:rsidRDefault="00C375B8" w:rsidP="00C375B8">
      <w:r>
        <w:t>Les prix particuliers à appliquer pour les fournitures, matériaux, matériels ou équipements qui font l’objet d’acomptes sur approvisionnement sont précisés dans les documents contractuels de décomposition ou de détail de prix, soit dès l’origine, soit par avenant.</w:t>
      </w:r>
    </w:p>
    <w:p w:rsidR="00C375B8" w:rsidRDefault="00C375B8" w:rsidP="00C375B8">
      <w:r>
        <w:t>A défaut, les dispositions suivantes sont appliquées :</w:t>
      </w:r>
    </w:p>
    <w:p w:rsidR="00C375B8" w:rsidRDefault="00C375B8" w:rsidP="00C375B8">
      <w:pPr>
        <w:pStyle w:val="Listenormale"/>
      </w:pPr>
      <w:r>
        <w:t>Le montant total prévisionnel des approvisionnements AT, déclaré par écrit par le titulaire du marché, est accepté par la personne responsable du marché par écrit ;</w:t>
      </w:r>
    </w:p>
    <w:p w:rsidR="00C375B8" w:rsidRDefault="00C375B8" w:rsidP="00C375B8">
      <w:pPr>
        <w:pStyle w:val="Listenormale"/>
      </w:pPr>
      <w:r>
        <w:t>Il en est déduit un taux noté PA représentant la proportion de ces approvisionnements AT par rapport au montant contractuel HT du marché ;</w:t>
      </w:r>
    </w:p>
    <w:p w:rsidR="00C375B8" w:rsidRDefault="00C375B8" w:rsidP="00C375B8">
      <w:pPr>
        <w:pStyle w:val="Listenormale"/>
      </w:pPr>
      <w:r>
        <w:t>Ce taux PA, arrondi à la 2ème décimale supérieure, servira à déterminer forfaitairement la part d'approvisionnements constitués et utilisés (AU), réputée comprise dans l'avancement de l’exécution des prestations T ;</w:t>
      </w:r>
    </w:p>
    <w:p w:rsidR="00C375B8" w:rsidRDefault="00C375B8" w:rsidP="00C375B8">
      <w:pPr>
        <w:pStyle w:val="Listenormale"/>
      </w:pPr>
      <w:r>
        <w:t>Le montant pris en considération comme approvisionnement à rajouter au montant de l’exécution des prestations dans la facturation cumulée, sera égal à 80 % du montant des factures acquittées par le titulaire pour les approvisionnements constitués AC, défalqué s'il y a lieu du montant des approvisionnements déjà utilisés AU et comptabilisés dans l'avancement de l’exécution des prestations T, calculé comme suit : AU = PA x T.</w:t>
      </w:r>
    </w:p>
    <w:p w:rsidR="00C375B8" w:rsidRDefault="00C375B8" w:rsidP="00C375B8">
      <w:pPr>
        <w:pStyle w:val="Listenormale"/>
      </w:pPr>
      <w:r>
        <w:t>Une annexe de calcul jointe au document de paiement retracera :</w:t>
      </w:r>
    </w:p>
    <w:p w:rsidR="00C375B8" w:rsidRDefault="00C375B8" w:rsidP="00C375B8">
      <w:pPr>
        <w:pStyle w:val="Listenormale"/>
        <w:numPr>
          <w:ilvl w:val="2"/>
          <w:numId w:val="15"/>
        </w:numPr>
      </w:pPr>
      <w:r>
        <w:t>Le montant contractuel HT du marché, noté M ;</w:t>
      </w:r>
    </w:p>
    <w:p w:rsidR="00C375B8" w:rsidRDefault="00C375B8" w:rsidP="00C375B8">
      <w:pPr>
        <w:pStyle w:val="Listenormale"/>
        <w:numPr>
          <w:ilvl w:val="2"/>
          <w:numId w:val="15"/>
        </w:numPr>
      </w:pPr>
      <w:r>
        <w:t>Le montant total prévisionnel des approvisionnements déclarés par le demandeur et acceptés par écrit par la personne responsable du marché, noté AT ;</w:t>
      </w:r>
    </w:p>
    <w:p w:rsidR="00C375B8" w:rsidRDefault="00C375B8" w:rsidP="00C375B8">
      <w:pPr>
        <w:pStyle w:val="Listenormale"/>
        <w:numPr>
          <w:ilvl w:val="2"/>
          <w:numId w:val="15"/>
        </w:numPr>
      </w:pPr>
      <w:r>
        <w:t>Le calcul du taux PA = AT / M représentant forfaitairement la part d’approvisionnement comprise dans toute exécution du marché ;</w:t>
      </w:r>
    </w:p>
    <w:p w:rsidR="00C375B8" w:rsidRDefault="00C375B8" w:rsidP="00C375B8">
      <w:pPr>
        <w:pStyle w:val="Listenormale"/>
        <w:numPr>
          <w:ilvl w:val="2"/>
          <w:numId w:val="15"/>
        </w:numPr>
      </w:pPr>
      <w:r>
        <w:t>Le montant cumulé des factures acquittées pour les Approvisionnements Constitués, noté AC. Ce montant ne peut excéder AT ;</w:t>
      </w:r>
    </w:p>
    <w:p w:rsidR="00C375B8" w:rsidRDefault="00C375B8" w:rsidP="00C375B8">
      <w:pPr>
        <w:pStyle w:val="Listenormale"/>
        <w:numPr>
          <w:ilvl w:val="2"/>
          <w:numId w:val="15"/>
        </w:numPr>
      </w:pPr>
      <w:r>
        <w:t>L'avancement de l’exécution du marché, noté T ;</w:t>
      </w:r>
    </w:p>
    <w:p w:rsidR="00C375B8" w:rsidRDefault="00C375B8" w:rsidP="00C375B8">
      <w:pPr>
        <w:pStyle w:val="Listenormale"/>
        <w:numPr>
          <w:ilvl w:val="2"/>
          <w:numId w:val="15"/>
        </w:numPr>
      </w:pPr>
      <w:r>
        <w:t>Le montant cumulé de la part des approvisionnements comprise dans l'avancement T, noté AU (Approvisionnements Utilisés) et évalué forfaitairement à AU = PA x T ;</w:t>
      </w:r>
    </w:p>
    <w:p w:rsidR="00C375B8" w:rsidRDefault="00C375B8" w:rsidP="00C375B8">
      <w:pPr>
        <w:pStyle w:val="Listenormale"/>
        <w:numPr>
          <w:ilvl w:val="2"/>
          <w:numId w:val="15"/>
        </w:numPr>
      </w:pPr>
      <w:r>
        <w:t>le montant cumulé des approvisionnements à prendre en compte dans la facturation cumulée, noté A, et égal à : 0,80 x (AC - AU).</w:t>
      </w:r>
    </w:p>
    <w:p w:rsidR="00C375B8" w:rsidRDefault="00C375B8" w:rsidP="00C375B8">
      <w:pPr>
        <w:pStyle w:val="Listenormale"/>
      </w:pPr>
      <w:r>
        <w:t>A cette annexe de calcul seront joints les justificatifs concernant le montant des factures acquittées pour les approvisionnements constitués (AC).</w:t>
      </w:r>
    </w:p>
    <w:p w:rsidR="00C8080F" w:rsidRDefault="00386F03" w:rsidP="00C8080F">
      <w:pPr>
        <w:pStyle w:val="1NIV1"/>
      </w:pPr>
      <w:bookmarkStart w:id="119" w:name="_Toc60319551"/>
      <w:r>
        <w:t>8.</w:t>
      </w:r>
      <w:r w:rsidR="00C8080F">
        <w:t>4 – AVANCE</w:t>
      </w:r>
      <w:r w:rsidR="002F090E">
        <w:t>S</w:t>
      </w:r>
      <w:bookmarkEnd w:id="119"/>
    </w:p>
    <w:p w:rsidR="006F5750" w:rsidRDefault="006F5750" w:rsidP="006F5750">
      <w:pPr>
        <w:pStyle w:val="2NIV2"/>
      </w:pPr>
      <w:bookmarkStart w:id="120" w:name="_Toc60319552"/>
      <w:r>
        <w:t>8.4.1 –</w:t>
      </w:r>
      <w:r w:rsidR="008D0B12">
        <w:t xml:space="preserve"> A</w:t>
      </w:r>
      <w:r>
        <w:t>vances</w:t>
      </w:r>
      <w:r w:rsidR="008D0B12">
        <w:t xml:space="preserve"> prévues par le marché</w:t>
      </w:r>
      <w:bookmarkEnd w:id="120"/>
    </w:p>
    <w:p w:rsidR="00C375B8" w:rsidRDefault="00555941" w:rsidP="00C375B8">
      <w:pPr>
        <w:pStyle w:val="NormalX"/>
      </w:pPr>
      <w:sdt>
        <w:sdtPr>
          <w:id w:val="-995333466"/>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Sans objet. Aucune avance ne sera versée au titre du présent marché.</w:t>
      </w:r>
    </w:p>
    <w:p w:rsidR="00C375B8" w:rsidRDefault="00555941" w:rsidP="00C375B8">
      <w:pPr>
        <w:pStyle w:val="NormalX"/>
      </w:pPr>
      <w:sdt>
        <w:sdtPr>
          <w:id w:val="-1250894950"/>
          <w14:checkbox>
            <w14:checked w14:val="0"/>
            <w14:checkedState w14:val="2612" w14:font="MS Gothic"/>
            <w14:uncheckedState w14:val="2610" w14:font="MS Gothic"/>
          </w14:checkbox>
        </w:sdtPr>
        <w:sdtEndPr/>
        <w:sdtContent>
          <w:r w:rsidR="00C375B8">
            <w:rPr>
              <w:rFonts w:ascii="MS Gothic" w:eastAsia="MS Gothic" w:hAnsi="MS Gothic" w:hint="eastAsia"/>
            </w:rPr>
            <w:t>☐</w:t>
          </w:r>
        </w:sdtContent>
      </w:sdt>
      <w:r w:rsidR="00C375B8">
        <w:t xml:space="preserve"> Conformément à l’article 53 de la délibération n° 424 du 20 mars 2019, dès notification du marché, le titulaire du marché est réputé demander le versement d’une avance selon un pourcentage TA du montant HT du marché pouvant aller jusqu’à un pourcentage maximal appelé TA max et fixé à l’article 7 de l’acte d’engagement, sauf refus explicite exprimé dans la soumission ou après notification du marché.</w:t>
      </w:r>
    </w:p>
    <w:p w:rsidR="00C375B8" w:rsidRDefault="00C375B8" w:rsidP="00C375B8">
      <w:r>
        <w:t>TA max ne peut être supérieur à 80 (%).</w:t>
      </w:r>
    </w:p>
    <w:p w:rsidR="00C375B8" w:rsidRDefault="00C375B8" w:rsidP="00C375B8">
      <w:r>
        <w:t>TA peut être précisé par le titulaire ou le sous-traitant en réponse à la notification du marché. A défaut, TA est égal à TA max.</w:t>
      </w:r>
    </w:p>
    <w:p w:rsidR="00C375B8" w:rsidRDefault="00C375B8" w:rsidP="00C375B8">
      <w:r>
        <w:t>En cas de sous-traitance :</w:t>
      </w:r>
    </w:p>
    <w:p w:rsidR="00C375B8" w:rsidRDefault="00C375B8" w:rsidP="00C375B8">
      <w:pPr>
        <w:pStyle w:val="Listenormale"/>
      </w:pPr>
      <w:r>
        <w:t>le montant à considérer pour le calcul de l’avance à verser au titulaire est le montant contractuel diminué des montants sous-traités ;</w:t>
      </w:r>
    </w:p>
    <w:p w:rsidR="00C375B8" w:rsidRDefault="00C375B8" w:rsidP="00C375B8">
      <w:pPr>
        <w:pStyle w:val="Listenormale"/>
      </w:pPr>
      <w:r>
        <w:t>le montant à considérer pour le calcul de l’avance à verser au sous-traitant, est le montant contractuel affecté au sous-traitant.</w:t>
      </w:r>
    </w:p>
    <w:p w:rsidR="008D0B12" w:rsidRDefault="008D0B12" w:rsidP="008D0B12">
      <w:pPr>
        <w:pStyle w:val="2NIV2"/>
      </w:pPr>
      <w:bookmarkStart w:id="121" w:name="_Toc60319553"/>
      <w:r>
        <w:t>8.4.2 – Conditions d’accès aux avances prévues par le marché</w:t>
      </w:r>
      <w:bookmarkEnd w:id="121"/>
    </w:p>
    <w:p w:rsidR="008D0B12" w:rsidRDefault="00555941" w:rsidP="008D0B12">
      <w:pPr>
        <w:pStyle w:val="NormalX"/>
      </w:pPr>
      <w:sdt>
        <w:sdtPr>
          <w:id w:val="222573657"/>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Sans objet.</w:t>
      </w:r>
    </w:p>
    <w:p w:rsidR="00CE3525" w:rsidRDefault="00555941" w:rsidP="008D0B12">
      <w:pPr>
        <w:pStyle w:val="NormalX"/>
      </w:pPr>
      <w:sdt>
        <w:sdtPr>
          <w:id w:val="-2117049726"/>
          <w14:checkbox>
            <w14:checked w14:val="0"/>
            <w14:checkedState w14:val="2612" w14:font="MS Gothic"/>
            <w14:uncheckedState w14:val="2610" w14:font="MS Gothic"/>
          </w14:checkbox>
        </w:sdtPr>
        <w:sdtEndPr/>
        <w:sdtContent>
          <w:r w:rsidR="008D0B12">
            <w:rPr>
              <w:rFonts w:ascii="MS Gothic" w:eastAsia="MS Gothic" w:hAnsi="MS Gothic" w:hint="eastAsia"/>
            </w:rPr>
            <w:t>☐</w:t>
          </w:r>
        </w:sdtContent>
      </w:sdt>
      <w:r w:rsidR="008D0B12">
        <w:t xml:space="preserve"> </w:t>
      </w:r>
      <w:r w:rsidR="00CE3525">
        <w:t>Le titulaire est tenu de présenter un décompte formalisant la demande d’avance</w:t>
      </w:r>
      <w:r w:rsidR="006F5750">
        <w:t>,</w:t>
      </w:r>
      <w:r w:rsidR="00B04B9D">
        <w:t xml:space="preserve"> et précisant le pourcentage d’avance</w:t>
      </w:r>
      <w:r w:rsidR="006F5750">
        <w:t xml:space="preserve"> </w:t>
      </w:r>
      <w:r w:rsidR="00B04B9D">
        <w:t>à appliquer</w:t>
      </w:r>
      <w:r w:rsidR="00D047D2">
        <w:t xml:space="preserve"> TA</w:t>
      </w:r>
      <w:r w:rsidR="00B04B9D">
        <w:t>, y compris pour chaque</w:t>
      </w:r>
      <w:r w:rsidR="006F5750">
        <w:t xml:space="preserve"> sous-traitant</w:t>
      </w:r>
      <w:r w:rsidR="00CE3525">
        <w:t>.</w:t>
      </w:r>
    </w:p>
    <w:p w:rsidR="00265B3E" w:rsidRDefault="00265B3E" w:rsidP="00265B3E">
      <w:r>
        <w:t>(Une seule case à cocher)</w:t>
      </w:r>
    </w:p>
    <w:p w:rsidR="00C8080F" w:rsidRDefault="00555941" w:rsidP="00265B3E">
      <w:pPr>
        <w:pStyle w:val="ListeX"/>
      </w:pPr>
      <w:sdt>
        <w:sdtPr>
          <w:id w:val="-522317924"/>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w:t>
      </w:r>
      <w:r w:rsidR="00B04B9D">
        <w:t>Une</w:t>
      </w:r>
      <w:r w:rsidR="00CE3525">
        <w:t xml:space="preserve"> demande </w:t>
      </w:r>
      <w:r w:rsidR="006F5750">
        <w:t xml:space="preserve">d’avance </w:t>
      </w:r>
      <w:r w:rsidR="00B04B9D">
        <w:t xml:space="preserve">ne peut être présentée </w:t>
      </w:r>
      <w:r w:rsidR="002F090E">
        <w:t>et acceptée que s’il y est joint l’engagement d’</w:t>
      </w:r>
      <w:r w:rsidR="00C8080F">
        <w:t xml:space="preserve">une caution personnelle s’engageant solidairement </w:t>
      </w:r>
      <w:r w:rsidR="006F5750">
        <w:t>avec le titulaire ou le sous-traitant</w:t>
      </w:r>
      <w:r w:rsidR="00B04B9D">
        <w:t xml:space="preserve"> concerné</w:t>
      </w:r>
      <w:r w:rsidR="006F5750">
        <w:t xml:space="preserve"> </w:t>
      </w:r>
      <w:r w:rsidR="00C8080F">
        <w:t>à rembourser, s’il y a lieu, l’intégralité du montant des avances consenties (</w:t>
      </w:r>
      <w:r w:rsidR="00B04B9D">
        <w:t xml:space="preserve">cf. </w:t>
      </w:r>
      <w:r w:rsidR="00C8080F">
        <w:t>article 81 de la délibération</w:t>
      </w:r>
      <w:r w:rsidR="00B04B9D">
        <w:t xml:space="preserve"> n° 424 du 20 mars 2019</w:t>
      </w:r>
      <w:r w:rsidR="00C8080F">
        <w:t>).</w:t>
      </w:r>
      <w:r w:rsidR="00CE3525">
        <w:t xml:space="preserve"> </w:t>
      </w:r>
      <w:r w:rsidR="00C8080F">
        <w:t xml:space="preserve">Le modèle de caution est fourni en annexe </w:t>
      </w:r>
      <w:r w:rsidR="00B04B9D">
        <w:t>4</w:t>
      </w:r>
      <w:r w:rsidR="00C8080F">
        <w:t xml:space="preserve"> au présent CCAP.</w:t>
      </w:r>
    </w:p>
    <w:p w:rsidR="00CE3525" w:rsidRDefault="00555941" w:rsidP="00615241">
      <w:pPr>
        <w:pStyle w:val="ListeX"/>
      </w:pPr>
      <w:sdt>
        <w:sdtPr>
          <w:id w:val="-2127142492"/>
          <w14:checkbox>
            <w14:checked w14:val="0"/>
            <w14:checkedState w14:val="2612" w14:font="MS Gothic"/>
            <w14:uncheckedState w14:val="2610" w14:font="MS Gothic"/>
          </w14:checkbox>
        </w:sdtPr>
        <w:sdtEndPr/>
        <w:sdtContent>
          <w:r w:rsidR="00CE3525">
            <w:rPr>
              <w:rFonts w:ascii="MS Gothic" w:eastAsia="MS Gothic" w:hAnsi="MS Gothic" w:hint="eastAsia"/>
            </w:rPr>
            <w:t>☐</w:t>
          </w:r>
        </w:sdtContent>
      </w:sdt>
      <w:r w:rsidR="00CE3525">
        <w:t xml:space="preserve"> L’acceptation de la demande</w:t>
      </w:r>
      <w:r w:rsidR="006F5750">
        <w:t xml:space="preserve"> d’avance</w:t>
      </w:r>
      <w:r w:rsidR="00CE3525">
        <w:t xml:space="preserve"> n’est PAS conditionnée par la fourniture de l’engagement d’une caution personnelle</w:t>
      </w:r>
      <w:r w:rsidR="00B04B9D">
        <w:t xml:space="preserve"> (cf. article 81 de la délibération n° 424 du 20 mars 2019)</w:t>
      </w:r>
      <w:r w:rsidR="00CE3525">
        <w:t>.</w:t>
      </w:r>
      <w:r w:rsidR="00615241">
        <w:t xml:space="preserve"> Toutefois,</w:t>
      </w:r>
      <w:r w:rsidR="00615241" w:rsidRPr="00615241">
        <w:t xml:space="preserve"> l'acheteur public pourra réclamer à tout moment le remboursement total ou partiel de l'avance par </w:t>
      </w:r>
      <w:r w:rsidR="007E54F7">
        <w:t xml:space="preserve">précompte sur les paiements ou à défaut par </w:t>
      </w:r>
      <w:r w:rsidR="00615241" w:rsidRPr="00615241">
        <w:t>ordre de recette</w:t>
      </w:r>
      <w:r w:rsidR="00615241">
        <w:t>, notamment en cas d’incident ou d’anomalie dans le déroulement de l’exécution du marché</w:t>
      </w:r>
      <w:r w:rsidR="00615241" w:rsidRPr="00615241">
        <w:t>.</w:t>
      </w:r>
    </w:p>
    <w:p w:rsidR="009D2FBD" w:rsidRDefault="009D2FBD" w:rsidP="009D2FBD">
      <w:pPr>
        <w:pStyle w:val="2NIV2"/>
      </w:pPr>
      <w:bookmarkStart w:id="122" w:name="_Toc60044035"/>
      <w:bookmarkStart w:id="123" w:name="_Toc57013092"/>
      <w:bookmarkStart w:id="124" w:name="_Toc60319554"/>
      <w:r>
        <w:t>8.4.3 – Remboursement des avances</w:t>
      </w:r>
      <w:bookmarkEnd w:id="122"/>
      <w:bookmarkEnd w:id="124"/>
    </w:p>
    <w:p w:rsidR="009D2FBD" w:rsidRDefault="00555941" w:rsidP="009D2FBD">
      <w:pPr>
        <w:pStyle w:val="NormalX"/>
      </w:pPr>
      <w:sdt>
        <w:sdtPr>
          <w:id w:val="168752940"/>
          <w14:checkbox>
            <w14:checked w14:val="0"/>
            <w14:checkedState w14:val="2612" w14:font="MS Gothic"/>
            <w14:uncheckedState w14:val="2610" w14:font="MS Gothic"/>
          </w14:checkbox>
        </w:sdtPr>
        <w:sdtEndPr/>
        <w:sdtContent>
          <w:r w:rsidR="009D2FBD">
            <w:rPr>
              <w:rFonts w:ascii="MS Gothic" w:eastAsia="MS Gothic" w:hAnsi="MS Gothic" w:hint="eastAsia"/>
            </w:rPr>
            <w:t>☐</w:t>
          </w:r>
        </w:sdtContent>
      </w:sdt>
      <w:r w:rsidR="009D2FBD">
        <w:t xml:space="preserve"> Sans objet.</w:t>
      </w:r>
    </w:p>
    <w:p w:rsidR="009D2FBD" w:rsidRDefault="00555941" w:rsidP="009D2FBD">
      <w:pPr>
        <w:pStyle w:val="NormalX"/>
      </w:pPr>
      <w:sdt>
        <w:sdtPr>
          <w:id w:val="-739406672"/>
          <w14:checkbox>
            <w14:checked w14:val="0"/>
            <w14:checkedState w14:val="2612" w14:font="MS Gothic"/>
            <w14:uncheckedState w14:val="2610" w14:font="MS Gothic"/>
          </w14:checkbox>
        </w:sdtPr>
        <w:sdtEndPr/>
        <w:sdtContent>
          <w:r w:rsidR="009D2FBD">
            <w:rPr>
              <w:rFonts w:ascii="MS Gothic" w:eastAsia="MS Gothic" w:hAnsi="MS Gothic" w:hint="eastAsia"/>
            </w:rPr>
            <w:t>☐</w:t>
          </w:r>
        </w:sdtContent>
      </w:sdt>
      <w:r w:rsidR="009D2FBD">
        <w:t xml:space="preserve"> </w:t>
      </w:r>
      <w:r w:rsidR="009D2FBD" w:rsidRPr="00ED64B7">
        <w:t xml:space="preserve">L’avance est remboursée par </w:t>
      </w:r>
      <w:r w:rsidR="009D2FBD">
        <w:t>le titulaire ou le sous-traitant concerné</w:t>
      </w:r>
      <w:r w:rsidR="009D2FBD" w:rsidRPr="00ED64B7">
        <w:t xml:space="preserve"> lorsque l</w:t>
      </w:r>
      <w:r w:rsidR="009D2FBD">
        <w:t>’avancement de l’exécution des prestations, appelé</w:t>
      </w:r>
      <w:r w:rsidR="009D2FBD" w:rsidRPr="00ED64B7">
        <w:t xml:space="preserve"> </w:t>
      </w:r>
      <w:r w:rsidR="009D2FBD">
        <w:t xml:space="preserve">T, </w:t>
      </w:r>
      <w:r w:rsidR="009D2FBD" w:rsidRPr="00ED64B7">
        <w:t xml:space="preserve">atteint </w:t>
      </w:r>
      <w:r w:rsidR="009D2FBD">
        <w:t>un pourcentage D (en</w:t>
      </w:r>
      <w:r w:rsidR="009D2FBD" w:rsidRPr="00ED64B7">
        <w:t xml:space="preserve"> %</w:t>
      </w:r>
      <w:r w:rsidR="009D2FBD">
        <w:t>)</w:t>
      </w:r>
      <w:r w:rsidR="009D2FBD" w:rsidRPr="00ED64B7">
        <w:t xml:space="preserve"> du montant initial </w:t>
      </w:r>
      <w:r w:rsidR="009D2FBD">
        <w:t>HT</w:t>
      </w:r>
      <w:r w:rsidR="009D2FBD" w:rsidRPr="00ED64B7">
        <w:t xml:space="preserve"> du </w:t>
      </w:r>
      <w:r w:rsidR="009D2FBD">
        <w:t>marché, propre au titulaire ou au sous-traitant</w:t>
      </w:r>
      <w:r w:rsidR="009D2FBD" w:rsidRPr="00ED64B7">
        <w:t>.</w:t>
      </w:r>
    </w:p>
    <w:p w:rsidR="009D2FBD" w:rsidRDefault="009D2FBD" w:rsidP="009D2FBD">
      <w:r>
        <w:t>Par défaut, D est égal à 40 (%).</w:t>
      </w:r>
    </w:p>
    <w:p w:rsidR="009D2FBD" w:rsidRDefault="009D2FBD" w:rsidP="009D2FBD">
      <w:r>
        <w:t>Si TA est supérieur à 80 – 40 = 40, alors D = 80 – TA.</w:t>
      </w:r>
    </w:p>
    <w:p w:rsidR="009D2FBD" w:rsidRDefault="009D2FBD" w:rsidP="009D2FBD">
      <w:r w:rsidRPr="00ED64B7">
        <w:t xml:space="preserve">Le remboursement de l’avance doit être terminé au plus tard lorsque </w:t>
      </w:r>
      <w:r>
        <w:t>l’avancement d’exécution</w:t>
      </w:r>
      <w:r w:rsidRPr="00ED64B7">
        <w:t xml:space="preserve"> atteint 80 % du </w:t>
      </w:r>
      <w:r>
        <w:t xml:space="preserve">même </w:t>
      </w:r>
      <w:r w:rsidRPr="00ED64B7">
        <w:t>montant</w:t>
      </w:r>
      <w:r>
        <w:t>.</w:t>
      </w:r>
    </w:p>
    <w:p w:rsidR="009D2FBD" w:rsidRDefault="009D2FBD" w:rsidP="009D2FBD">
      <w:r>
        <w:t>Le remboursement des avances entre ces deux bornes se fait lors du calcul de l’acompte par différence entre le montant de l’avance cumulée due au titre du décompte en cours et le montant de l’avance cumulée due au titre du décompte précédent, ces montants d’avance cumulée étant déterminés selon les modalités suivantes, reprises dans une annexe de calcul jointe au décompte.</w:t>
      </w:r>
    </w:p>
    <w:p w:rsidR="009D2FBD" w:rsidRDefault="009D2FBD" w:rsidP="009D2FBD">
      <w:pPr>
        <w:pStyle w:val="Listenormale"/>
      </w:pPr>
      <w:r>
        <w:t>Montant contractuel pris en compte pour le titulaire ou le sous-traitant concerné : MC</w:t>
      </w:r>
    </w:p>
    <w:p w:rsidR="009D2FBD" w:rsidRDefault="009D2FBD" w:rsidP="009D2FBD">
      <w:pPr>
        <w:pStyle w:val="Listenormale"/>
      </w:pPr>
      <w:r>
        <w:t>Taux d'avance maximum prévu au marché : TA max</w:t>
      </w:r>
    </w:p>
    <w:p w:rsidR="009D2FBD" w:rsidRDefault="009D2FBD" w:rsidP="009D2FBD">
      <w:pPr>
        <w:pStyle w:val="Listenormale"/>
      </w:pPr>
      <w:r>
        <w:t>Taux d'avance spécifique demandé par le titulaire ou le sous-traitant : TA  (inférieur ou égal TA max)</w:t>
      </w:r>
    </w:p>
    <w:p w:rsidR="009D2FBD" w:rsidRDefault="009D2FBD" w:rsidP="009D2FBD">
      <w:pPr>
        <w:pStyle w:val="Listenormale"/>
      </w:pPr>
      <w:r>
        <w:t>Montant de l'avance accordée : A0 = TA x MC</w:t>
      </w:r>
    </w:p>
    <w:p w:rsidR="009D2FBD" w:rsidRDefault="009D2FBD" w:rsidP="009D2FBD">
      <w:pPr>
        <w:pStyle w:val="Listenormale"/>
      </w:pPr>
      <w:r>
        <w:t>M</w:t>
      </w:r>
      <w:r w:rsidRPr="00ED64B7">
        <w:t>ontant</w:t>
      </w:r>
      <w:r>
        <w:t xml:space="preserve"> de l'avance à inclure dans le décompte noté A, déterminé en fonction de l'avancement d’exécution des prestations, noté T (en %) :</w:t>
      </w:r>
    </w:p>
    <w:p w:rsidR="009D2FBD" w:rsidRDefault="009D2FBD" w:rsidP="009D2FBD">
      <w:pPr>
        <w:pStyle w:val="Listenormale"/>
        <w:numPr>
          <w:ilvl w:val="2"/>
          <w:numId w:val="15"/>
        </w:numPr>
      </w:pPr>
      <w:r>
        <w:t>Entre 0% et D d'avancement, A = A0</w:t>
      </w:r>
      <w:r>
        <w:tab/>
      </w:r>
    </w:p>
    <w:p w:rsidR="009D2FBD" w:rsidRDefault="009D2FBD" w:rsidP="009D2FBD">
      <w:pPr>
        <w:pStyle w:val="Listenormale"/>
        <w:numPr>
          <w:ilvl w:val="2"/>
          <w:numId w:val="15"/>
        </w:numPr>
      </w:pPr>
      <w:r>
        <w:t xml:space="preserve">Entre D et 80% d'avancement, A = A0 x (80 - T) / </w:t>
      </w:r>
      <w:proofErr w:type="gramStart"/>
      <w:r>
        <w:t>( 80</w:t>
      </w:r>
      <w:proofErr w:type="gramEnd"/>
      <w:r>
        <w:t xml:space="preserve"> - D)</w:t>
      </w:r>
    </w:p>
    <w:p w:rsidR="009D2FBD" w:rsidRDefault="009D2FBD" w:rsidP="009D2FBD">
      <w:pPr>
        <w:pStyle w:val="Listenormale"/>
        <w:numPr>
          <w:ilvl w:val="2"/>
          <w:numId w:val="15"/>
        </w:numPr>
      </w:pPr>
      <w:r>
        <w:t>Entre 80% et 100% d'avancement, A = 0.</w:t>
      </w:r>
    </w:p>
    <w:p w:rsidR="00662BC8" w:rsidRDefault="00662BC8" w:rsidP="00662BC8">
      <w:pPr>
        <w:pStyle w:val="1NIV1"/>
      </w:pPr>
      <w:bookmarkStart w:id="125" w:name="_Toc60319555"/>
      <w:r>
        <w:t>8.5 – AUTO-LIQUIDATION DE LA TGC</w:t>
      </w:r>
      <w:bookmarkEnd w:id="123"/>
      <w:bookmarkEnd w:id="125"/>
    </w:p>
    <w:p w:rsidR="00662BC8" w:rsidRDefault="00662BC8" w:rsidP="00662BC8">
      <w:r>
        <w:t>Dans le cas d’un titulaire résidant hors du territoire de la Nouvelle-Calédonie, l’acheteur public procédera à l’auto-liquidation de la TGC applicable en faveur de la Direction des services fiscaux de la Nouvelle-Calédonie.</w:t>
      </w:r>
    </w:p>
    <w:p w:rsidR="00091434" w:rsidRDefault="00091434">
      <w:pPr>
        <w:overflowPunct/>
        <w:autoSpaceDE/>
        <w:autoSpaceDN/>
        <w:adjustRightInd/>
        <w:spacing w:before="0" w:after="0"/>
        <w:ind w:left="0"/>
        <w:jc w:val="left"/>
        <w:textAlignment w:val="auto"/>
      </w:pPr>
    </w:p>
    <w:p w:rsidR="006B1010" w:rsidRDefault="006B1010">
      <w:pPr>
        <w:overflowPunct/>
        <w:autoSpaceDE/>
        <w:autoSpaceDN/>
        <w:adjustRightInd/>
        <w:spacing w:before="0" w:after="0"/>
        <w:ind w:left="0"/>
        <w:jc w:val="left"/>
        <w:textAlignment w:val="auto"/>
      </w:pPr>
      <w:r>
        <w:br w:type="page"/>
      </w:r>
    </w:p>
    <w:p w:rsidR="006B1010" w:rsidRPr="00F517BF" w:rsidRDefault="00273A6F" w:rsidP="00273A6F">
      <w:pPr>
        <w:pStyle w:val="0ENTETE"/>
        <w:rPr>
          <w:color w:val="auto"/>
        </w:rPr>
      </w:pPr>
      <w:bookmarkStart w:id="126" w:name="_Toc60319556"/>
      <w:r w:rsidRPr="00F517BF">
        <w:rPr>
          <w:color w:val="auto"/>
        </w:rPr>
        <w:t xml:space="preserve">ARTICLE </w:t>
      </w:r>
      <w:r w:rsidR="006B1010" w:rsidRPr="00F517BF">
        <w:rPr>
          <w:color w:val="auto"/>
        </w:rPr>
        <w:t xml:space="preserve">9 – </w:t>
      </w:r>
      <w:r w:rsidRPr="00F517BF">
        <w:rPr>
          <w:color w:val="auto"/>
        </w:rPr>
        <w:t>PRESENTATION DES DOCUMENTS DE</w:t>
      </w:r>
      <w:r w:rsidR="00091434" w:rsidRPr="00F517BF">
        <w:rPr>
          <w:color w:val="auto"/>
        </w:rPr>
        <w:t xml:space="preserve"> DEMANDE DE</w:t>
      </w:r>
      <w:r w:rsidRPr="00F517BF">
        <w:rPr>
          <w:color w:val="auto"/>
        </w:rPr>
        <w:t xml:space="preserve"> PAIEMENT</w:t>
      </w:r>
      <w:bookmarkEnd w:id="126"/>
    </w:p>
    <w:p w:rsidR="009906AD" w:rsidRPr="00F517BF" w:rsidRDefault="009906AD" w:rsidP="009906AD">
      <w:pPr>
        <w:pStyle w:val="1NIV1"/>
      </w:pPr>
      <w:bookmarkStart w:id="127" w:name="_Toc60319557"/>
      <w:r w:rsidRPr="00F517BF">
        <w:t xml:space="preserve">9.1 – </w:t>
      </w:r>
      <w:r>
        <w:t>FORME DES DOCUMENTS DE PAIEMENT</w:t>
      </w:r>
      <w:bookmarkEnd w:id="127"/>
    </w:p>
    <w:p w:rsidR="003655F2" w:rsidRPr="00F517BF" w:rsidRDefault="003655F2" w:rsidP="003655F2">
      <w:pPr>
        <w:pStyle w:val="2NIV2"/>
      </w:pPr>
      <w:bookmarkStart w:id="128" w:name="_Toc60319558"/>
      <w:r w:rsidRPr="00F517BF">
        <w:t>9.1</w:t>
      </w:r>
      <w:r>
        <w:t>.1</w:t>
      </w:r>
      <w:r w:rsidRPr="00F517BF">
        <w:t xml:space="preserve"> – </w:t>
      </w:r>
      <w:r>
        <w:t>Mentions obligatoires sur les factures</w:t>
      </w:r>
      <w:bookmarkEnd w:id="128"/>
    </w:p>
    <w:p w:rsidR="003655F2" w:rsidRPr="00F517BF" w:rsidRDefault="003655F2" w:rsidP="003655F2">
      <w:r w:rsidRPr="00F517BF">
        <w:t>Le</w:t>
      </w:r>
      <w:r>
        <w:t xml:space="preserve">s mentions minimales suivantes </w:t>
      </w:r>
      <w:r w:rsidRPr="00F517BF">
        <w:t xml:space="preserve">doivent apparaître </w:t>
      </w:r>
      <w:r>
        <w:t xml:space="preserve">sur les factures / situations </w:t>
      </w:r>
      <w:r w:rsidRPr="00F517BF">
        <w:t>:</w:t>
      </w:r>
    </w:p>
    <w:p w:rsidR="003655F2" w:rsidRPr="00F517BF" w:rsidRDefault="003655F2" w:rsidP="003655F2">
      <w:pPr>
        <w:pStyle w:val="Listea"/>
        <w:numPr>
          <w:ilvl w:val="0"/>
          <w:numId w:val="39"/>
        </w:numPr>
      </w:pPr>
      <w:r w:rsidRPr="00F517BF">
        <w:t>Le numéro et la date d’émission de la facture,</w:t>
      </w:r>
    </w:p>
    <w:p w:rsidR="003655F2" w:rsidRPr="00F517BF" w:rsidRDefault="003655F2" w:rsidP="003655F2">
      <w:pPr>
        <w:pStyle w:val="Listea"/>
      </w:pPr>
      <w:r w:rsidRPr="00F517BF">
        <w:t>Le nom ou la raison sociale du créancier, ainsi que son adresse physique,</w:t>
      </w:r>
    </w:p>
    <w:p w:rsidR="003655F2" w:rsidRPr="00F517BF" w:rsidRDefault="003655F2" w:rsidP="003655F2">
      <w:pPr>
        <w:pStyle w:val="Listea"/>
      </w:pPr>
      <w:r w:rsidRPr="00F517BF">
        <w:t xml:space="preserve">Le nom et l'adresse du prestataire, y compris son </w:t>
      </w:r>
      <w:r w:rsidRPr="00F517BF">
        <w:rPr>
          <w:b/>
        </w:rPr>
        <w:t>adresse email</w:t>
      </w:r>
      <w:r w:rsidRPr="00F517BF">
        <w:t>,</w:t>
      </w:r>
    </w:p>
    <w:p w:rsidR="003655F2" w:rsidRPr="00F517BF" w:rsidRDefault="003655F2" w:rsidP="003655F2">
      <w:pPr>
        <w:pStyle w:val="Listea"/>
      </w:pPr>
      <w:r w:rsidRPr="00F517BF">
        <w:t>Le numéro de RIDET (10 chiffres),</w:t>
      </w:r>
    </w:p>
    <w:p w:rsidR="003655F2" w:rsidRPr="00F517BF" w:rsidRDefault="003655F2" w:rsidP="003655F2">
      <w:pPr>
        <w:pStyle w:val="Listea"/>
      </w:pPr>
      <w:r w:rsidRPr="00F517BF">
        <w:t>La référence d’inscription au registre du commerce ou au répertoire des métiers pour les sociétés,</w:t>
      </w:r>
    </w:p>
    <w:p w:rsidR="003655F2" w:rsidRPr="00F517BF" w:rsidRDefault="003655F2" w:rsidP="003655F2">
      <w:pPr>
        <w:pStyle w:val="Listea"/>
      </w:pPr>
      <w:r w:rsidRPr="00F517BF">
        <w:t xml:space="preserve">La domiciliation bancaire et le RIB (23 chiffres), </w:t>
      </w:r>
    </w:p>
    <w:p w:rsidR="003655F2" w:rsidRPr="00F517BF" w:rsidRDefault="003655F2" w:rsidP="003655F2">
      <w:pPr>
        <w:pStyle w:val="Listea"/>
      </w:pPr>
      <w:r w:rsidRPr="00F517BF">
        <w:t>La désignation de la collectivité débitrice (nom, adresse, direction ou service)</w:t>
      </w:r>
      <w:r>
        <w:t>,</w:t>
      </w:r>
      <w:r w:rsidRPr="00F517BF">
        <w:t xml:space="preserve"> </w:t>
      </w:r>
    </w:p>
    <w:p w:rsidR="008E6EF2" w:rsidRPr="00F517BF" w:rsidRDefault="008E6EF2" w:rsidP="008E6EF2">
      <w:pPr>
        <w:pStyle w:val="Listea"/>
      </w:pPr>
      <w:bookmarkStart w:id="129" w:name="_Toc57627702"/>
      <w:r w:rsidRPr="00F517BF">
        <w:t>Le numéro et la</w:t>
      </w:r>
      <w:r>
        <w:t xml:space="preserve"> date de notification du marché.</w:t>
      </w:r>
    </w:p>
    <w:p w:rsidR="008E6EF2" w:rsidRPr="00F517BF" w:rsidRDefault="008E6EF2" w:rsidP="008E6EF2">
      <w:pPr>
        <w:pStyle w:val="2NIV2"/>
      </w:pPr>
      <w:bookmarkStart w:id="130" w:name="_Toc60319559"/>
      <w:r w:rsidRPr="00F517BF">
        <w:t>9.1.</w:t>
      </w:r>
      <w:r>
        <w:t>2</w:t>
      </w:r>
      <w:r w:rsidRPr="00F517BF">
        <w:t xml:space="preserve"> – </w:t>
      </w:r>
      <w:r>
        <w:t>Décomptes et états d’acompte</w:t>
      </w:r>
      <w:bookmarkEnd w:id="130"/>
    </w:p>
    <w:p w:rsidR="008E6EF2" w:rsidRPr="00F517BF" w:rsidRDefault="008E6EF2" w:rsidP="008E6EF2">
      <w:r w:rsidRPr="00F517BF">
        <w:t>Les décomptes correspondant aux prestations</w:t>
      </w:r>
      <w:r>
        <w:t xml:space="preserve"> commandées et</w:t>
      </w:r>
      <w:r w:rsidRPr="00F517BF">
        <w:t xml:space="preserve"> exécutées </w:t>
      </w:r>
      <w:r>
        <w:t>sont</w:t>
      </w:r>
      <w:r w:rsidRPr="00F517BF">
        <w:t xml:space="preserve"> présentés :</w:t>
      </w:r>
    </w:p>
    <w:p w:rsidR="008E6EF2" w:rsidRPr="00F517BF" w:rsidRDefault="008E6EF2" w:rsidP="008E6EF2">
      <w:pPr>
        <w:pStyle w:val="Listenormale"/>
      </w:pPr>
      <w:r w:rsidRPr="00F517BF">
        <w:t>pour le paiement d’une avance si celle-ci est prévue par le marché ;</w:t>
      </w:r>
    </w:p>
    <w:p w:rsidR="008E6EF2" w:rsidRPr="00F517BF" w:rsidRDefault="008E6EF2" w:rsidP="008E6EF2">
      <w:pPr>
        <w:pStyle w:val="Listenormale"/>
      </w:pPr>
      <w:r>
        <w:t>lorsqu’</w:t>
      </w:r>
      <w:r w:rsidRPr="00F517BF">
        <w:t>une partie des prestations commandées a été exécutée ;</w:t>
      </w:r>
    </w:p>
    <w:p w:rsidR="008E6EF2" w:rsidRDefault="008E6EF2" w:rsidP="008E6EF2">
      <w:pPr>
        <w:pStyle w:val="Listenormale"/>
      </w:pPr>
      <w:r w:rsidRPr="00F517BF">
        <w:t xml:space="preserve">à la fin de l’exécution des prestations </w:t>
      </w:r>
      <w:r>
        <w:t>objet du marché ;</w:t>
      </w:r>
    </w:p>
    <w:p w:rsidR="008E6EF2" w:rsidRPr="00F517BF" w:rsidRDefault="008E6EF2" w:rsidP="008E6EF2">
      <w:pPr>
        <w:pStyle w:val="Listenormale"/>
      </w:pPr>
      <w:r>
        <w:t>après parution des indices définitifs s’ils n’étaient pas encore parus lors de la facturation intervenant à la fin de l’exécution des prestations</w:t>
      </w:r>
      <w:r w:rsidRPr="00F517BF">
        <w:t>.</w:t>
      </w:r>
    </w:p>
    <w:p w:rsidR="008E6EF2" w:rsidRDefault="008E6EF2" w:rsidP="008E6EF2">
      <w:r w:rsidRPr="00F517BF">
        <w:t>Les décomptes</w:t>
      </w:r>
      <w:r>
        <w:t xml:space="preserve"> et</w:t>
      </w:r>
      <w:r w:rsidRPr="00F517BF">
        <w:t xml:space="preserve"> états d’acompte nécessaires au paiement sont présentés conformément aux formulaires fournis par </w:t>
      </w:r>
      <w:r>
        <w:t>le référent du marché</w:t>
      </w:r>
      <w:r w:rsidRPr="00F517BF">
        <w:t>.</w:t>
      </w:r>
    </w:p>
    <w:p w:rsidR="008E6EF2" w:rsidRDefault="008E6EF2" w:rsidP="008E6EF2">
      <w:r>
        <w:t>Ils comprennent éventuellement l</w:t>
      </w:r>
      <w:r w:rsidRPr="00F517BF">
        <w:t>es justificatifs nécessaires</w:t>
      </w:r>
      <w:r>
        <w:t xml:space="preserve">, </w:t>
      </w:r>
      <w:r w:rsidRPr="00F517BF">
        <w:t>par exemple</w:t>
      </w:r>
      <w:r>
        <w:t> :</w:t>
      </w:r>
    </w:p>
    <w:p w:rsidR="008E6EF2" w:rsidRDefault="008E6EF2" w:rsidP="008E6EF2">
      <w:pPr>
        <w:pStyle w:val="Listenormale"/>
      </w:pPr>
      <w:r>
        <w:t>annexe de calcul d’une</w:t>
      </w:r>
      <w:r w:rsidRPr="00F517BF">
        <w:t xml:space="preserve"> avance</w:t>
      </w:r>
      <w:r>
        <w:t>,</w:t>
      </w:r>
    </w:p>
    <w:p w:rsidR="008E6EF2" w:rsidRDefault="008E6EF2" w:rsidP="008E6EF2">
      <w:pPr>
        <w:pStyle w:val="Listenormale"/>
      </w:pPr>
      <w:r>
        <w:t>si exigée, la caution bancaire pour l’avance, conforme au modèle de l’annexe 5 du présent CCAP,</w:t>
      </w:r>
    </w:p>
    <w:p w:rsidR="008E6EF2" w:rsidRPr="00F517BF" w:rsidRDefault="008E6EF2" w:rsidP="008E6EF2">
      <w:pPr>
        <w:pStyle w:val="Listenormale"/>
      </w:pPr>
      <w:r>
        <w:t>annexe de calcul d’</w:t>
      </w:r>
      <w:r w:rsidRPr="00F517BF">
        <w:t xml:space="preserve">actualisation </w:t>
      </w:r>
      <w:r>
        <w:t>ou révision des prix.</w:t>
      </w:r>
    </w:p>
    <w:p w:rsidR="008E6EF2" w:rsidRDefault="008E6EF2" w:rsidP="008E6EF2">
      <w:r w:rsidRPr="00F517BF">
        <w:t>A titre d’exemple, un modè</w:t>
      </w:r>
      <w:r>
        <w:t>le complet est joint en annexe 4</w:t>
      </w:r>
      <w:r w:rsidRPr="00F517BF">
        <w:t xml:space="preserve"> au présent CCAP.</w:t>
      </w:r>
    </w:p>
    <w:p w:rsidR="008E6EF2" w:rsidRPr="00F517BF" w:rsidRDefault="008E6EF2" w:rsidP="008E6EF2">
      <w:r w:rsidRPr="00F517BF">
        <w:t xml:space="preserve">Les situations détaillant l’avancement des prestations sont présentées sous forme de facture </w:t>
      </w:r>
      <w:r>
        <w:t xml:space="preserve">détaillée </w:t>
      </w:r>
      <w:r w:rsidRPr="00F517BF">
        <w:t>établissant le montant des prestations exécutées cumulé depuis le début de leur exécution.</w:t>
      </w:r>
    </w:p>
    <w:p w:rsidR="008E6EF2" w:rsidRDefault="008E6EF2" w:rsidP="008E6EF2">
      <w:r>
        <w:t>Si les</w:t>
      </w:r>
      <w:r w:rsidRPr="00F517BF">
        <w:t xml:space="preserve"> prestations </w:t>
      </w:r>
      <w:r>
        <w:t xml:space="preserve">sont </w:t>
      </w:r>
      <w:r w:rsidRPr="00F517BF">
        <w:t>réglées sur prix unitaires, ces situations détaillen</w:t>
      </w:r>
      <w:r>
        <w:t>t obligatoirement les quantités réelles exécutées.</w:t>
      </w:r>
    </w:p>
    <w:p w:rsidR="008E6EF2" w:rsidRPr="00F517BF" w:rsidRDefault="008E6EF2" w:rsidP="008E6EF2">
      <w:r>
        <w:t>Sur la situation</w:t>
      </w:r>
      <w:r w:rsidRPr="00F517BF">
        <w:t xml:space="preserve"> doivent apparaître</w:t>
      </w:r>
      <w:r>
        <w:t>, outre les mentions listées à l’article 9.1.1</w:t>
      </w:r>
      <w:r w:rsidRPr="00F517BF">
        <w:t xml:space="preserve"> :</w:t>
      </w:r>
    </w:p>
    <w:p w:rsidR="008E6EF2" w:rsidRDefault="008E6EF2" w:rsidP="008E6EF2">
      <w:pPr>
        <w:pStyle w:val="Listea"/>
        <w:numPr>
          <w:ilvl w:val="0"/>
          <w:numId w:val="40"/>
        </w:numPr>
      </w:pPr>
      <w:r w:rsidRPr="00F517BF">
        <w:t>La nature des prestations,</w:t>
      </w:r>
    </w:p>
    <w:p w:rsidR="008E6EF2" w:rsidRPr="00F517BF" w:rsidRDefault="008E6EF2" w:rsidP="008E6EF2">
      <w:pPr>
        <w:pStyle w:val="Listea"/>
        <w:numPr>
          <w:ilvl w:val="0"/>
          <w:numId w:val="40"/>
        </w:numPr>
      </w:pPr>
      <w:r>
        <w:t>Les prix prévus au marché,</w:t>
      </w:r>
    </w:p>
    <w:p w:rsidR="008E6EF2" w:rsidRPr="00F517BF" w:rsidRDefault="008E6EF2" w:rsidP="008E6EF2">
      <w:pPr>
        <w:pStyle w:val="Listea"/>
        <w:numPr>
          <w:ilvl w:val="0"/>
          <w:numId w:val="40"/>
        </w:numPr>
      </w:pPr>
      <w:r>
        <w:t>L’avancement de l’exécution des prestations depuis le début de l’exécution du marché</w:t>
      </w:r>
      <w:r w:rsidRPr="00F517BF">
        <w:t>,</w:t>
      </w:r>
    </w:p>
    <w:p w:rsidR="008E6EF2" w:rsidRDefault="008E6EF2" w:rsidP="008E6EF2">
      <w:pPr>
        <w:pStyle w:val="Listea"/>
        <w:numPr>
          <w:ilvl w:val="0"/>
          <w:numId w:val="40"/>
        </w:numPr>
      </w:pPr>
      <w:r w:rsidRPr="00F517BF">
        <w:t>Le montant total hors taxe,</w:t>
      </w:r>
    </w:p>
    <w:p w:rsidR="008E6EF2" w:rsidRDefault="008E6EF2" w:rsidP="008E6EF2">
      <w:pPr>
        <w:pStyle w:val="Listea"/>
        <w:numPr>
          <w:ilvl w:val="0"/>
          <w:numId w:val="40"/>
        </w:numPr>
      </w:pPr>
      <w:r>
        <w:t>L’éventuelle réfaction décidée par la personne responsable du marché,</w:t>
      </w:r>
    </w:p>
    <w:p w:rsidR="008E6EF2" w:rsidRPr="00F517BF" w:rsidRDefault="008E6EF2" w:rsidP="008E6EF2">
      <w:pPr>
        <w:pStyle w:val="Listea"/>
        <w:numPr>
          <w:ilvl w:val="0"/>
          <w:numId w:val="40"/>
        </w:numPr>
      </w:pPr>
      <w:r w:rsidRPr="00F517BF">
        <w:t>Les taux et prix des taxes applicables,</w:t>
      </w:r>
    </w:p>
    <w:p w:rsidR="008E6EF2" w:rsidRPr="00F517BF" w:rsidRDefault="008E6EF2" w:rsidP="008E6EF2">
      <w:pPr>
        <w:pStyle w:val="Listea"/>
        <w:numPr>
          <w:ilvl w:val="0"/>
          <w:numId w:val="40"/>
        </w:numPr>
      </w:pPr>
      <w:r w:rsidRPr="00F517BF">
        <w:t xml:space="preserve">Le </w:t>
      </w:r>
      <w:r>
        <w:t>montant cumulé à payer</w:t>
      </w:r>
      <w:r w:rsidRPr="00F517BF">
        <w:t xml:space="preserve"> toutes taxes comprises</w:t>
      </w:r>
      <w:r>
        <w:t>.</w:t>
      </w:r>
    </w:p>
    <w:p w:rsidR="008E6EF2" w:rsidRDefault="008E6EF2" w:rsidP="008E6EF2">
      <w:r w:rsidRPr="00F6628D">
        <w:t>Les demandes de paiement des sous-traitants seront obligatoirement intégrées aux documents du titulaire, comme indiqué à l’article 8.</w:t>
      </w:r>
      <w:r>
        <w:t>1.</w:t>
      </w:r>
      <w:r w:rsidRPr="00F6628D">
        <w:t>2.1 du présent CCAP.</w:t>
      </w:r>
    </w:p>
    <w:p w:rsidR="008E6EF2" w:rsidRDefault="008E6EF2" w:rsidP="008E6EF2">
      <w:r w:rsidRPr="00F517BF">
        <w:t>En cas de groupement solidaire sans affectation de lot, les demandes de paiement des cotraitants seront obligatoirement intégrées aux documents du mandataire</w:t>
      </w:r>
      <w:r>
        <w:t>, comme indiqué à l’article 8.1.2.1 du présent CCAP</w:t>
      </w:r>
      <w:r w:rsidRPr="00F517BF">
        <w:t>.</w:t>
      </w:r>
    </w:p>
    <w:p w:rsidR="008E6EF2" w:rsidRPr="00F517BF" w:rsidRDefault="008E6EF2" w:rsidP="008E6EF2">
      <w:r>
        <w:t>L</w:t>
      </w:r>
      <w:r w:rsidRPr="00F517BF">
        <w:t xml:space="preserve">a </w:t>
      </w:r>
      <w:r>
        <w:t>situation</w:t>
      </w:r>
      <w:r w:rsidRPr="00F517BF">
        <w:t xml:space="preserve"> est certifiée le service fait par le </w:t>
      </w:r>
      <w:r>
        <w:t xml:space="preserve">référent interne, à défaut le </w:t>
      </w:r>
      <w:r w:rsidRPr="00F517BF">
        <w:t>référent du marché.</w:t>
      </w:r>
    </w:p>
    <w:p w:rsidR="008E6EF2" w:rsidRPr="00F517BF" w:rsidRDefault="008E6EF2" w:rsidP="008E6EF2">
      <w:pPr>
        <w:pStyle w:val="2NIV2"/>
      </w:pPr>
      <w:bookmarkStart w:id="131" w:name="_Toc52959060"/>
      <w:bookmarkStart w:id="132" w:name="_Toc57703045"/>
      <w:bookmarkStart w:id="133" w:name="_Toc60061351"/>
      <w:bookmarkStart w:id="134" w:name="_Toc60319560"/>
      <w:r>
        <w:t>9.1</w:t>
      </w:r>
      <w:r w:rsidRPr="00F517BF">
        <w:t>.</w:t>
      </w:r>
      <w:r>
        <w:t>3</w:t>
      </w:r>
      <w:r w:rsidRPr="00F517BF">
        <w:t xml:space="preserve"> – </w:t>
      </w:r>
      <w:bookmarkEnd w:id="131"/>
      <w:bookmarkEnd w:id="132"/>
      <w:r>
        <w:t>Factures</w:t>
      </w:r>
      <w:bookmarkEnd w:id="133"/>
      <w:bookmarkEnd w:id="134"/>
    </w:p>
    <w:p w:rsidR="008E6EF2" w:rsidRDefault="008E6EF2" w:rsidP="008E6EF2">
      <w:bookmarkStart w:id="135" w:name="_Toc52959061"/>
      <w:r>
        <w:t>Sans objet.</w:t>
      </w:r>
    </w:p>
    <w:p w:rsidR="009906AD" w:rsidRPr="00F517BF" w:rsidRDefault="00960A43" w:rsidP="00960A43">
      <w:pPr>
        <w:pStyle w:val="1NIV1"/>
      </w:pPr>
      <w:bookmarkStart w:id="136" w:name="_Toc60319561"/>
      <w:bookmarkEnd w:id="135"/>
      <w:r>
        <w:t>9.</w:t>
      </w:r>
      <w:r w:rsidR="005805F1">
        <w:t>2</w:t>
      </w:r>
      <w:r w:rsidRPr="00F517BF">
        <w:t xml:space="preserve"> – ENVOI DES DOCUMENTS DE DEMANDE DE PAIEMENT</w:t>
      </w:r>
      <w:bookmarkEnd w:id="129"/>
      <w:bookmarkEnd w:id="136"/>
    </w:p>
    <w:p w:rsidR="009906AD" w:rsidRPr="00F517BF" w:rsidRDefault="009906AD" w:rsidP="009906AD">
      <w:r w:rsidRPr="00F517BF">
        <w:t>Les documents de demande de paiement seront envoyés aux adresses suivantes (plusieurs cases à cocher possibles) :</w:t>
      </w:r>
    </w:p>
    <w:p w:rsidR="009906AD" w:rsidRPr="00F517BF" w:rsidRDefault="00555941" w:rsidP="009906AD">
      <w:pPr>
        <w:pStyle w:val="ListeX"/>
        <w:jc w:val="left"/>
      </w:pPr>
      <w:sdt>
        <w:sdtPr>
          <w:id w:val="-1359347437"/>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soit en format papier par courrier en deux (2) exemplaires dont un (1) exemplaire original et une (1) copie à l’adresse suivante : …………………………………………….</w:t>
      </w:r>
    </w:p>
    <w:p w:rsidR="009906AD" w:rsidRPr="00F517BF" w:rsidRDefault="00555941" w:rsidP="009906AD">
      <w:pPr>
        <w:pStyle w:val="ListeX"/>
        <w:jc w:val="left"/>
      </w:pPr>
      <w:sdt>
        <w:sdtPr>
          <w:id w:val="2032990658"/>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soit par voie électronique à l’adresse email suivante : ………………………………</w:t>
      </w:r>
    </w:p>
    <w:p w:rsidR="009906AD" w:rsidRPr="00F517BF" w:rsidRDefault="00555941" w:rsidP="009906AD">
      <w:pPr>
        <w:pStyle w:val="ListeX"/>
        <w:jc w:val="left"/>
      </w:pPr>
      <w:sdt>
        <w:sdtPr>
          <w:id w:val="-190389516"/>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soit par l’intermédiaire du site internet suivant : …………………………………</w:t>
      </w:r>
    </w:p>
    <w:p w:rsidR="009906AD" w:rsidRPr="00F517BF" w:rsidRDefault="009906AD" w:rsidP="009906AD">
      <w:r w:rsidRPr="00F517BF">
        <w:t>Copie sera faite par courrier électronique au référent du marché.</w:t>
      </w:r>
    </w:p>
    <w:p w:rsidR="009906AD" w:rsidRPr="00F517BF" w:rsidRDefault="009906AD" w:rsidP="009906AD">
      <w:r w:rsidRPr="00F517BF">
        <w:t>Le référent du marché pourra notifier au prestataire par écrit, sans avenant, des modalités d’envoi de factures différentes.</w:t>
      </w:r>
    </w:p>
    <w:p w:rsidR="009906AD" w:rsidRPr="00F517BF" w:rsidRDefault="009906AD" w:rsidP="009906AD">
      <w:pPr>
        <w:pStyle w:val="1NIV1"/>
      </w:pPr>
      <w:bookmarkStart w:id="137" w:name="_Toc60319562"/>
      <w:r>
        <w:t>9.</w:t>
      </w:r>
      <w:r w:rsidR="005805F1">
        <w:t>3</w:t>
      </w:r>
      <w:r w:rsidRPr="00F517BF">
        <w:t xml:space="preserve"> – INTERVENTION D’UN PRESTATAIRE CONDITIONNANT LE PAIEMENT DES SOMMES DUES</w:t>
      </w:r>
      <w:bookmarkEnd w:id="137"/>
      <w:r w:rsidRPr="00F517BF">
        <w:t xml:space="preserve"> </w:t>
      </w:r>
    </w:p>
    <w:p w:rsidR="009906AD" w:rsidRPr="00F517BF" w:rsidRDefault="00555941" w:rsidP="009906AD">
      <w:pPr>
        <w:pStyle w:val="NormalX"/>
      </w:pPr>
      <w:sdt>
        <w:sdtPr>
          <w:id w:val="1999995538"/>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Sans objet.</w:t>
      </w:r>
    </w:p>
    <w:p w:rsidR="00B03E25" w:rsidRPr="00F517BF" w:rsidRDefault="00555941" w:rsidP="00B03E25">
      <w:pPr>
        <w:pStyle w:val="NormalX"/>
      </w:pPr>
      <w:sdt>
        <w:sdtPr>
          <w:id w:val="1958904628"/>
          <w14:checkbox>
            <w14:checked w14:val="0"/>
            <w14:checkedState w14:val="2612" w14:font="MS Gothic"/>
            <w14:uncheckedState w14:val="2610" w14:font="MS Gothic"/>
          </w14:checkbox>
        </w:sdtPr>
        <w:sdtEndPr/>
        <w:sdtContent>
          <w:r w:rsidR="00B03E25" w:rsidRPr="00F517BF">
            <w:rPr>
              <w:rFonts w:ascii="MS Gothic" w:eastAsia="MS Gothic" w:hAnsi="MS Gothic" w:hint="eastAsia"/>
            </w:rPr>
            <w:t>☐</w:t>
          </w:r>
        </w:sdtContent>
      </w:sdt>
      <w:r w:rsidR="00B03E25" w:rsidRPr="00F517BF">
        <w:t xml:space="preserve"> </w:t>
      </w:r>
      <w:r w:rsidR="00B03E25">
        <w:t>Le</w:t>
      </w:r>
      <w:r w:rsidR="00B03E25" w:rsidRPr="00F517BF">
        <w:t xml:space="preserve"> projet de décompte établi par le titulaire </w:t>
      </w:r>
      <w:r w:rsidR="00B03E25">
        <w:t xml:space="preserve">et accompagné par la situation </w:t>
      </w:r>
      <w:r w:rsidR="00B03E25" w:rsidRPr="00F517BF">
        <w:t xml:space="preserve">doit être présenté au </w:t>
      </w:r>
      <w:r w:rsidR="00B03E25" w:rsidRPr="00AC3407">
        <w:rPr>
          <w:color w:val="0070C0"/>
        </w:rPr>
        <w:t xml:space="preserve">maître d’œuvre </w:t>
      </w:r>
      <w:r w:rsidR="00B03E25">
        <w:t>pour validation de la situation et du</w:t>
      </w:r>
      <w:r w:rsidR="00B03E25" w:rsidRPr="00F517BF">
        <w:t xml:space="preserve"> décompte</w:t>
      </w:r>
      <w:r w:rsidR="00B03E25">
        <w:t>,</w:t>
      </w:r>
      <w:r w:rsidR="00B03E25" w:rsidRPr="00F517BF">
        <w:t xml:space="preserve"> et établissement de l’état d’acompte :</w:t>
      </w:r>
    </w:p>
    <w:p w:rsidR="00B03E25" w:rsidRPr="00F517BF" w:rsidRDefault="00B03E25" w:rsidP="00B03E25">
      <w:pPr>
        <w:pStyle w:val="Listenormale"/>
      </w:pPr>
      <w:r w:rsidRPr="00F517BF">
        <w:t xml:space="preserve">Si le </w:t>
      </w:r>
      <w:r w:rsidRPr="00AC3407">
        <w:rPr>
          <w:color w:val="0070C0"/>
        </w:rPr>
        <w:t xml:space="preserve">maître d’œuvre </w:t>
      </w:r>
      <w:r w:rsidRPr="00F517BF">
        <w:t>est un service interne de l’acheteur public, le projet de décompte</w:t>
      </w:r>
      <w:r>
        <w:t xml:space="preserve"> accompagné par la situation</w:t>
      </w:r>
      <w:r w:rsidRPr="00F517BF">
        <w:t xml:space="preserve"> est envoyé aux adresses ci-dessus, le délai de mandatement démarre au moment de la 1</w:t>
      </w:r>
      <w:r w:rsidRPr="00F517BF">
        <w:rPr>
          <w:vertAlign w:val="superscript"/>
        </w:rPr>
        <w:t>ère</w:t>
      </w:r>
      <w:r w:rsidRPr="00F517BF">
        <w:t xml:space="preserve"> réception à ces adresses.</w:t>
      </w:r>
    </w:p>
    <w:p w:rsidR="00B03E25" w:rsidRPr="00F517BF" w:rsidRDefault="00B03E25" w:rsidP="00B03E25">
      <w:pPr>
        <w:pStyle w:val="Listenormale"/>
      </w:pPr>
      <w:r w:rsidRPr="00F517BF">
        <w:t xml:space="preserve">Si le </w:t>
      </w:r>
      <w:r w:rsidRPr="00AC3407">
        <w:rPr>
          <w:color w:val="0070C0"/>
        </w:rPr>
        <w:t xml:space="preserve">maître d’œuvre </w:t>
      </w:r>
      <w:r w:rsidRPr="00F517BF">
        <w:t xml:space="preserve">est un prestataire externe aux services de l’acheteur public, le projet de décompte </w:t>
      </w:r>
      <w:r>
        <w:t xml:space="preserve">accompagné par la situation </w:t>
      </w:r>
      <w:r w:rsidRPr="00F517BF">
        <w:t xml:space="preserve">doit d’abord lui être envoyé pour validation et établissement de l’état d’acompte. Ce n’est que lorsque </w:t>
      </w:r>
      <w:r w:rsidRPr="00AC3407">
        <w:rPr>
          <w:color w:val="0070C0"/>
        </w:rPr>
        <w:t>le maître d’œuvre</w:t>
      </w:r>
      <w:r w:rsidRPr="00F517BF">
        <w:t xml:space="preserve"> lui a renvoyé les documents de demande de paiement validés et complétés que le titulaire peut les déposer aux adresses ci-dessus, ce qui déclenche alors le délai de mandatement. A défaut, les documents de demande de paiement envoyés directement à l’acheteur public sont rejetés.</w:t>
      </w:r>
    </w:p>
    <w:p w:rsidR="009906AD" w:rsidRPr="00F517BF" w:rsidRDefault="00555941" w:rsidP="009906AD">
      <w:pPr>
        <w:pStyle w:val="NormalX"/>
      </w:pPr>
      <w:sdt>
        <w:sdtPr>
          <w:id w:val="730195984"/>
          <w14:checkbox>
            <w14:checked w14:val="0"/>
            <w14:checkedState w14:val="2612" w14:font="MS Gothic"/>
            <w14:uncheckedState w14:val="2610" w14:font="MS Gothic"/>
          </w14:checkbox>
        </w:sdtPr>
        <w:sdtEndPr/>
        <w:sdtContent>
          <w:r w:rsidR="009906AD" w:rsidRPr="00F517BF">
            <w:rPr>
              <w:rFonts w:ascii="MS Gothic" w:eastAsia="MS Gothic" w:hAnsi="MS Gothic" w:hint="eastAsia"/>
            </w:rPr>
            <w:t>☐</w:t>
          </w:r>
        </w:sdtContent>
      </w:sdt>
      <w:r w:rsidR="009906AD" w:rsidRPr="00F517BF">
        <w:t xml:space="preserve"> La facture établie par le titulaire doit premièrement être présentée au </w:t>
      </w:r>
      <w:r w:rsidR="005805F1">
        <w:t>prestataire ci-après,</w:t>
      </w:r>
      <w:r w:rsidR="005805F1" w:rsidRPr="00F517BF">
        <w:t xml:space="preserve"> </w:t>
      </w:r>
      <w:r w:rsidR="009906AD" w:rsidRPr="00F517BF">
        <w:t>externe aux services de l’acheteur public : ………………………</w:t>
      </w:r>
    </w:p>
    <w:p w:rsidR="009906AD" w:rsidRPr="00F517BF" w:rsidRDefault="009906AD" w:rsidP="009906AD">
      <w:r w:rsidRPr="00F517BF">
        <w:t xml:space="preserve">Ce n’est que lorsque ce prestataire lui a renvoyé les documents de demande de paiement validés et signés par ses soins que le titulaire </w:t>
      </w:r>
      <w:proofErr w:type="gramStart"/>
      <w:r w:rsidRPr="00F517BF">
        <w:t>peut</w:t>
      </w:r>
      <w:proofErr w:type="gramEnd"/>
      <w:r w:rsidRPr="00F517BF">
        <w:t xml:space="preserve"> les déposer aux adresses ci-dessus, ce qui déclenche alors le délai de mandatement. A défaut, les documents de demande de paiement envoyés directement à l’acheteur public sont rejetés.</w:t>
      </w:r>
    </w:p>
    <w:p w:rsidR="006B1010" w:rsidRPr="00F517BF" w:rsidRDefault="00BE3FDC" w:rsidP="000C0A86">
      <w:pPr>
        <w:pStyle w:val="1NIV1"/>
      </w:pPr>
      <w:bookmarkStart w:id="138" w:name="_Toc60319563"/>
      <w:r w:rsidRPr="00F517BF">
        <w:t>9.</w:t>
      </w:r>
      <w:r w:rsidR="00BC55B5">
        <w:t>4</w:t>
      </w:r>
      <w:r w:rsidRPr="00F517BF">
        <w:t xml:space="preserve"> – DELAI DE MANDATEMENT</w:t>
      </w:r>
      <w:bookmarkEnd w:id="138"/>
    </w:p>
    <w:p w:rsidR="006B1010" w:rsidRPr="00F517BF" w:rsidRDefault="006B1010" w:rsidP="006B1010">
      <w:r w:rsidRPr="00F517BF">
        <w:t>Le montant des demandes de paiement doit faire l’objet d’un mandatement dans le délai prévu à l’article 71 de la délibération n° 424 du 20 mars 2019.</w:t>
      </w:r>
    </w:p>
    <w:p w:rsidR="005805F1" w:rsidRDefault="006B1010" w:rsidP="00D06C53">
      <w:r w:rsidRPr="00F517BF">
        <w:t xml:space="preserve">Le délai de mandatement court à compter de la date de la réception, par </w:t>
      </w:r>
      <w:r w:rsidR="000C0A86" w:rsidRPr="00F517BF">
        <w:t>l’acheteur public</w:t>
      </w:r>
      <w:r w:rsidRPr="00F517BF">
        <w:t xml:space="preserve">, des documents </w:t>
      </w:r>
      <w:r w:rsidR="000C0A86" w:rsidRPr="00F517BF">
        <w:t xml:space="preserve">de paiement, dans les conditions précisées aux </w:t>
      </w:r>
      <w:r w:rsidRPr="00F517BF">
        <w:t>article</w:t>
      </w:r>
      <w:r w:rsidR="000C0A86" w:rsidRPr="00F517BF">
        <w:t>s</w:t>
      </w:r>
      <w:r w:rsidRPr="00F517BF">
        <w:t xml:space="preserve"> 9.</w:t>
      </w:r>
      <w:r w:rsidR="000C0A86" w:rsidRPr="00F517BF">
        <w:t>1</w:t>
      </w:r>
      <w:r w:rsidR="00F517BF" w:rsidRPr="00F517BF">
        <w:t>,</w:t>
      </w:r>
      <w:r w:rsidR="000C0A86" w:rsidRPr="00F517BF">
        <w:t xml:space="preserve"> 9.2</w:t>
      </w:r>
      <w:r w:rsidR="00F517BF" w:rsidRPr="00F517BF">
        <w:t xml:space="preserve"> et 9.3</w:t>
      </w:r>
      <w:r w:rsidR="000C0A86" w:rsidRPr="00F517BF">
        <w:t xml:space="preserve"> ci-dessus</w:t>
      </w:r>
      <w:r w:rsidRPr="00F517BF">
        <w:t>.</w:t>
      </w:r>
    </w:p>
    <w:p w:rsidR="00D06C53" w:rsidRDefault="00D06C53" w:rsidP="00D06C53">
      <w:r>
        <w:br w:type="page"/>
      </w:r>
    </w:p>
    <w:p w:rsidR="006B1010" w:rsidRDefault="006B1010" w:rsidP="00D60D25">
      <w:pPr>
        <w:pStyle w:val="0ENTETE"/>
      </w:pPr>
      <w:bookmarkStart w:id="139" w:name="_Toc60319564"/>
      <w:r>
        <w:t xml:space="preserve">ARTICLE 10  - </w:t>
      </w:r>
      <w:r w:rsidR="001A491C">
        <w:t xml:space="preserve">DELAI DE GARANTIE, </w:t>
      </w:r>
      <w:r>
        <w:t>GARANTIES</w:t>
      </w:r>
      <w:r w:rsidR="001A491C">
        <w:t xml:space="preserve"> FINANCIERES</w:t>
      </w:r>
      <w:r>
        <w:t xml:space="preserve">, </w:t>
      </w:r>
      <w:r w:rsidR="001A491C">
        <w:t xml:space="preserve">SURETÉS, </w:t>
      </w:r>
      <w:r>
        <w:t>ASSURANCE</w:t>
      </w:r>
      <w:r w:rsidR="001A491C">
        <w:t>S</w:t>
      </w:r>
      <w:bookmarkEnd w:id="139"/>
    </w:p>
    <w:p w:rsidR="006B1010" w:rsidRDefault="006B1010" w:rsidP="00D60D25">
      <w:pPr>
        <w:pStyle w:val="1NIV1"/>
      </w:pPr>
      <w:bookmarkStart w:id="140" w:name="_Toc60319565"/>
      <w:r>
        <w:t xml:space="preserve">10.1 </w:t>
      </w:r>
      <w:r w:rsidR="00D60D25">
        <w:t>–</w:t>
      </w:r>
      <w:r>
        <w:t xml:space="preserve"> </w:t>
      </w:r>
      <w:r w:rsidR="00D60D25">
        <w:t>DELAI DE GARANTIE</w:t>
      </w:r>
      <w:bookmarkEnd w:id="140"/>
    </w:p>
    <w:p w:rsidR="00CC0C14" w:rsidRDefault="00555941" w:rsidP="00CC0C14">
      <w:pPr>
        <w:pStyle w:val="NormalX"/>
      </w:pPr>
      <w:sdt>
        <w:sdtPr>
          <w:id w:val="506713780"/>
          <w14:checkbox>
            <w14:checked w14:val="0"/>
            <w14:checkedState w14:val="2612" w14:font="MS Gothic"/>
            <w14:uncheckedState w14:val="2610" w14:font="MS Gothic"/>
          </w14:checkbox>
        </w:sdtPr>
        <w:sdtEndPr/>
        <w:sdtContent>
          <w:r w:rsidR="00CC0C14">
            <w:rPr>
              <w:rFonts w:ascii="MS Gothic" w:eastAsia="MS Gothic" w:hAnsi="MS Gothic" w:hint="eastAsia"/>
            </w:rPr>
            <w:t>☐</w:t>
          </w:r>
        </w:sdtContent>
      </w:sdt>
      <w:r w:rsidR="00CC0C14">
        <w:t xml:space="preserve"> Sans objet.</w:t>
      </w:r>
    </w:p>
    <w:p w:rsidR="00721132" w:rsidRDefault="00555941" w:rsidP="00595D2A">
      <w:pPr>
        <w:pStyle w:val="NormalX"/>
      </w:pPr>
      <w:sdt>
        <w:sdtPr>
          <w:id w:val="-1780027021"/>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Le délai de garantie est de ………. mois à compter de la date d’effet de la réception.</w:t>
      </w:r>
    </w:p>
    <w:p w:rsidR="00721132" w:rsidRPr="0088697C" w:rsidRDefault="00721132" w:rsidP="00721132">
      <w:r w:rsidRPr="0088697C">
        <w:t>Pendant le délai de garantie, l</w:t>
      </w:r>
      <w:r>
        <w:t>’</w:t>
      </w:r>
      <w:r w:rsidRPr="0088697C">
        <w:t>entrepreneur est tenu à une obligation dite «obligation de parfait achèvement» au titre de laquelle il doit</w:t>
      </w:r>
      <w:r>
        <w:t> </w:t>
      </w:r>
      <w:r w:rsidRPr="0088697C">
        <w:t xml:space="preserve">: </w:t>
      </w:r>
    </w:p>
    <w:p w:rsidR="00721132" w:rsidRPr="00512FEB" w:rsidRDefault="00721132" w:rsidP="00512FEB">
      <w:pPr>
        <w:pStyle w:val="Listea"/>
        <w:numPr>
          <w:ilvl w:val="0"/>
          <w:numId w:val="43"/>
        </w:numPr>
      </w:pPr>
      <w:r w:rsidRPr="00512FEB">
        <w:t xml:space="preserve">Exécuter les travaux et prestations éventuels de finition ou de reprise (constatés lors de la réception) ; </w:t>
      </w:r>
    </w:p>
    <w:p w:rsidR="00721132" w:rsidRPr="00512FEB" w:rsidRDefault="00721132" w:rsidP="00512FEB">
      <w:pPr>
        <w:pStyle w:val="Listea"/>
        <w:numPr>
          <w:ilvl w:val="0"/>
          <w:numId w:val="43"/>
        </w:numPr>
      </w:pPr>
      <w:r w:rsidRPr="00512FEB">
        <w:t xml:space="preserve">Remédier à tous les désordres signalés par le maître d’ouvrage ou le maître d’œuvre, de telle sorte que l’ouvrage soit conforme à l’état où il était lors de la réception ou après correction des imperfections constatées lors de celle-ci ; </w:t>
      </w:r>
    </w:p>
    <w:p w:rsidR="00721132" w:rsidRPr="00512FEB" w:rsidRDefault="00721132" w:rsidP="00512FEB">
      <w:pPr>
        <w:pStyle w:val="Listea"/>
        <w:numPr>
          <w:ilvl w:val="0"/>
          <w:numId w:val="43"/>
        </w:numPr>
      </w:pPr>
      <w:r w:rsidRPr="00512FEB">
        <w:t xml:space="preserve">Procéder, le cas échéant, aux travaux confortatifs ou modificatifs dont la nécessité serait apparue à l’issue des épreuves effectuées conformément au CCAP. ; </w:t>
      </w:r>
    </w:p>
    <w:p w:rsidR="00721132" w:rsidRPr="00512FEB" w:rsidRDefault="00721132" w:rsidP="00512FEB">
      <w:pPr>
        <w:pStyle w:val="Listea"/>
        <w:numPr>
          <w:ilvl w:val="0"/>
          <w:numId w:val="43"/>
        </w:numPr>
      </w:pPr>
      <w:r w:rsidRPr="00512FEB">
        <w:t xml:space="preserve">Remettre au maître d’œuvre les plans des ouvrages conformes à l’exécution. </w:t>
      </w:r>
    </w:p>
    <w:p w:rsidR="00721132" w:rsidRPr="0088697C" w:rsidRDefault="00721132" w:rsidP="00721132">
      <w:r w:rsidRPr="0088697C">
        <w:t>Les dépenses correspondant aux travaux complémentaires prescrits par le maître de l</w:t>
      </w:r>
      <w:r>
        <w:t>’</w:t>
      </w:r>
      <w:r w:rsidRPr="0088697C">
        <w:t>ouvrage ou le maître d</w:t>
      </w:r>
      <w:r>
        <w:t>’œuvre</w:t>
      </w:r>
      <w:r w:rsidRPr="0088697C">
        <w:t xml:space="preserve"> ayant pour objet de remédier aux déficiences énoncées aux b</w:t>
      </w:r>
      <w:r>
        <w:t>.</w:t>
      </w:r>
      <w:r w:rsidRPr="0088697C">
        <w:t xml:space="preserve"> et c</w:t>
      </w:r>
      <w:r>
        <w:t>.</w:t>
      </w:r>
      <w:r w:rsidRPr="0088697C">
        <w:t xml:space="preserve"> ci-dessus ne sont à la charge de l’entrepreneur que si la cause de ces déficiences lui est imputable. </w:t>
      </w:r>
    </w:p>
    <w:p w:rsidR="00721132" w:rsidRPr="0088697C" w:rsidRDefault="00721132" w:rsidP="00721132">
      <w:r w:rsidRPr="0088697C">
        <w:t>L</w:t>
      </w:r>
      <w:r>
        <w:t>’</w:t>
      </w:r>
      <w:r w:rsidRPr="0088697C">
        <w:t>obligation de parfait achèvement ne s</w:t>
      </w:r>
      <w:r>
        <w:t>’</w:t>
      </w:r>
      <w:r w:rsidRPr="0088697C">
        <w:t>étend pas aux travaux nécessaires pour remédier aux effets de l</w:t>
      </w:r>
      <w:r>
        <w:t>’</w:t>
      </w:r>
      <w:r w:rsidRPr="0088697C">
        <w:t>usage ou de l</w:t>
      </w:r>
      <w:r>
        <w:t>’</w:t>
      </w:r>
      <w:r w:rsidRPr="0088697C">
        <w:t xml:space="preserve">usure normale. </w:t>
      </w:r>
    </w:p>
    <w:p w:rsidR="00721132" w:rsidRPr="0088697C" w:rsidRDefault="00721132" w:rsidP="00721132">
      <w:r w:rsidRPr="0088697C">
        <w:t>A l</w:t>
      </w:r>
      <w:r>
        <w:t>’</w:t>
      </w:r>
      <w:r w:rsidRPr="0088697C">
        <w:t>expiration du délai de garantie, l</w:t>
      </w:r>
      <w:r>
        <w:t>’</w:t>
      </w:r>
      <w:r w:rsidRPr="0088697C">
        <w:t>entrepreneur est dégagé de ses obligations contractuelles, à l</w:t>
      </w:r>
      <w:r>
        <w:t>’</w:t>
      </w:r>
      <w:r w:rsidRPr="0088697C">
        <w:t xml:space="preserve">exception </w:t>
      </w:r>
      <w:r>
        <w:t xml:space="preserve">des </w:t>
      </w:r>
      <w:r w:rsidR="00746A1E">
        <w:t xml:space="preserve">éventuelles </w:t>
      </w:r>
      <w:r>
        <w:t>garanties particulières mentionnées au CCAP </w:t>
      </w:r>
      <w:r w:rsidRPr="0088697C">
        <w:t>; les sûretés éventuellement constituées sont libérées</w:t>
      </w:r>
      <w:r>
        <w:t xml:space="preserve"> dans les conditions réglementaires.</w:t>
      </w:r>
      <w:r w:rsidRPr="0088697C">
        <w:t xml:space="preserve"> </w:t>
      </w:r>
    </w:p>
    <w:p w:rsidR="00721132" w:rsidRDefault="00721132" w:rsidP="00721132">
      <w:r w:rsidRPr="0088697C">
        <w:t>Si, à l</w:t>
      </w:r>
      <w:r>
        <w:t>’</w:t>
      </w:r>
      <w:r w:rsidRPr="0088697C">
        <w:t>expiration du délai de garantie, l</w:t>
      </w:r>
      <w:r>
        <w:t>’</w:t>
      </w:r>
      <w:r w:rsidRPr="0088697C">
        <w:t>entrepreneur n</w:t>
      </w:r>
      <w:r>
        <w:t>’</w:t>
      </w:r>
      <w:r w:rsidRPr="0088697C">
        <w:t>a pas procédé à l</w:t>
      </w:r>
      <w:r>
        <w:t>’</w:t>
      </w:r>
      <w:r w:rsidRPr="0088697C">
        <w:t xml:space="preserve">exécution des travaux et prestations énoncés </w:t>
      </w:r>
      <w:r>
        <w:t>ci-dessus</w:t>
      </w:r>
      <w:r w:rsidRPr="0088697C">
        <w:t xml:space="preserve">, le délai de garantie peut être prolongé par décision de la personne </w:t>
      </w:r>
      <w:r>
        <w:t xml:space="preserve">responsable du marché jusqu’à leur </w:t>
      </w:r>
      <w:r w:rsidRPr="0088697C">
        <w:t>exécution complète, que celle-ci soit assurée par l</w:t>
      </w:r>
      <w:r>
        <w:t>’</w:t>
      </w:r>
      <w:r w:rsidRPr="0088697C">
        <w:t>entrepreneur ou qu</w:t>
      </w:r>
      <w:r>
        <w:t>’</w:t>
      </w:r>
      <w:r w:rsidRPr="0088697C">
        <w:t>elle soit d</w:t>
      </w:r>
      <w:r>
        <w:t>’</w:t>
      </w:r>
      <w:r w:rsidRPr="0088697C">
        <w:t xml:space="preserve">office </w:t>
      </w:r>
      <w:r>
        <w:t>(par une entreprise tierce)</w:t>
      </w:r>
      <w:r w:rsidRPr="0088697C">
        <w:t>.</w:t>
      </w:r>
    </w:p>
    <w:p w:rsidR="006B1010" w:rsidRDefault="00CC0C14" w:rsidP="00CC0C14">
      <w:pPr>
        <w:pStyle w:val="1NIV1"/>
      </w:pPr>
      <w:bookmarkStart w:id="141" w:name="_Toc60319566"/>
      <w:r>
        <w:t>10.2 - GARANTIES FINANCIERES, SURETES</w:t>
      </w:r>
      <w:bookmarkEnd w:id="141"/>
    </w:p>
    <w:p w:rsidR="00EF62BC" w:rsidRDefault="00EF62BC" w:rsidP="00EF62BC">
      <w:pPr>
        <w:pStyle w:val="2NIV2"/>
      </w:pPr>
      <w:bookmarkStart w:id="142" w:name="_Toc60319567"/>
      <w:r>
        <w:t>10.2.1 - Garanties financières prévues au titre du marché</w:t>
      </w:r>
      <w:bookmarkEnd w:id="142"/>
    </w:p>
    <w:p w:rsidR="00EF62BC" w:rsidRDefault="00EF62BC" w:rsidP="00EF62BC">
      <w:r>
        <w:t>(</w:t>
      </w:r>
      <w:proofErr w:type="gramStart"/>
      <w:r>
        <w:t>cocher</w:t>
      </w:r>
      <w:proofErr w:type="gramEnd"/>
      <w:r>
        <w:t xml:space="preserve"> une seule case) :</w:t>
      </w:r>
    </w:p>
    <w:p w:rsidR="00EF62BC" w:rsidRDefault="00555941" w:rsidP="00EF62BC">
      <w:pPr>
        <w:pStyle w:val="NormalX"/>
      </w:pPr>
      <w:sdt>
        <w:sdtPr>
          <w:id w:val="-1416622172"/>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prestations n’étant soumises à aucun délai de garantie, aucune garantie financière n’est exigée au titre du marché.</w:t>
      </w:r>
    </w:p>
    <w:p w:rsidR="00EF62BC" w:rsidRDefault="00555941" w:rsidP="00EF62BC">
      <w:pPr>
        <w:pStyle w:val="NormalX"/>
      </w:pPr>
      <w:sdt>
        <w:sdtPr>
          <w:id w:val="1604227796"/>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parties du marché réservées aux structures d’insertion ne sont soumises à aucune garantie financière conformément au dernier alinéa de l’article 77 de la délibération n° 424 du 20 mars 2019.</w:t>
      </w:r>
    </w:p>
    <w:p w:rsidR="00EF62BC" w:rsidRDefault="00555941" w:rsidP="00EF62BC">
      <w:pPr>
        <w:pStyle w:val="NormalX"/>
      </w:pPr>
      <w:sdt>
        <w:sdtPr>
          <w:id w:val="1407033925"/>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Bien que les prestations ne soient soumises à aucun délai de garantie, le titulaire est tenu de fournir une garantie financière selon les modalités fixées à l’article suivant.</w:t>
      </w:r>
    </w:p>
    <w:p w:rsidR="00EF62BC" w:rsidRDefault="00555941" w:rsidP="00EF62BC">
      <w:pPr>
        <w:pStyle w:val="NormalX"/>
      </w:pPr>
      <w:sdt>
        <w:sdtPr>
          <w:id w:val="1606916716"/>
          <w14:checkbox>
            <w14:checked w14:val="0"/>
            <w14:checkedState w14:val="2612" w14:font="MS Gothic"/>
            <w14:uncheckedState w14:val="2610" w14:font="MS Gothic"/>
          </w14:checkbox>
        </w:sdtPr>
        <w:sdtEndPr/>
        <w:sdtContent>
          <w:r w:rsidR="00EF62BC">
            <w:rPr>
              <w:rFonts w:ascii="MS Gothic" w:eastAsia="MS Gothic" w:hAnsi="MS Gothic" w:hint="eastAsia"/>
            </w:rPr>
            <w:t>☐</w:t>
          </w:r>
        </w:sdtContent>
      </w:sdt>
      <w:r w:rsidR="00EF62BC">
        <w:t xml:space="preserve"> Les prestations étant soumises à </w:t>
      </w:r>
      <w:r w:rsidR="00746A1E">
        <w:t>un</w:t>
      </w:r>
      <w:r w:rsidR="00EF62BC">
        <w:t xml:space="preserve"> délai de garantie, le titulaire est tenu de fournir une garantie financière selon les modalités fixées à l’article suivant.</w:t>
      </w:r>
    </w:p>
    <w:p w:rsidR="00A4744F" w:rsidRDefault="00A4744F" w:rsidP="00A4744F">
      <w:pPr>
        <w:pStyle w:val="2NIV2"/>
      </w:pPr>
      <w:bookmarkStart w:id="143" w:name="_Toc60319568"/>
      <w:r>
        <w:t>10.2.2 – Modalités de mise en place des garanties financières.</w:t>
      </w:r>
      <w:bookmarkEnd w:id="143"/>
    </w:p>
    <w:p w:rsidR="00A4744F" w:rsidRDefault="00555941" w:rsidP="00A4744F">
      <w:pPr>
        <w:pStyle w:val="NormalX"/>
      </w:pPr>
      <w:sdt>
        <w:sdtPr>
          <w:id w:val="1261558279"/>
          <w14:checkbox>
            <w14:checked w14:val="0"/>
            <w14:checkedState w14:val="2612" w14:font="MS Gothic"/>
            <w14:uncheckedState w14:val="2610" w14:font="MS Gothic"/>
          </w14:checkbox>
        </w:sdtPr>
        <w:sdtEndPr/>
        <w:sdtContent>
          <w:r w:rsidR="00A4744F">
            <w:rPr>
              <w:rFonts w:ascii="MS Gothic" w:eastAsia="MS Gothic" w:hAnsi="MS Gothic" w:hint="eastAsia"/>
            </w:rPr>
            <w:t>☐</w:t>
          </w:r>
        </w:sdtContent>
      </w:sdt>
      <w:r w:rsidR="00A4744F">
        <w:t xml:space="preserve"> Sans objet.</w:t>
      </w:r>
    </w:p>
    <w:p w:rsidR="00EF62BC" w:rsidRDefault="00555941" w:rsidP="00A4744F">
      <w:pPr>
        <w:pStyle w:val="NormalX"/>
      </w:pPr>
      <w:sdt>
        <w:sdtPr>
          <w:id w:val="-1369751437"/>
          <w14:checkbox>
            <w14:checked w14:val="0"/>
            <w14:checkedState w14:val="2612" w14:font="MS Gothic"/>
            <w14:uncheckedState w14:val="2610" w14:font="MS Gothic"/>
          </w14:checkbox>
        </w:sdtPr>
        <w:sdtEndPr/>
        <w:sdtContent>
          <w:r w:rsidR="00A4744F">
            <w:rPr>
              <w:rFonts w:ascii="MS Gothic" w:eastAsia="MS Gothic" w:hAnsi="MS Gothic" w:hint="eastAsia"/>
            </w:rPr>
            <w:t>☐</w:t>
          </w:r>
        </w:sdtContent>
      </w:sdt>
      <w:r w:rsidR="00A4744F">
        <w:t xml:space="preserve"> </w:t>
      </w:r>
      <w:r w:rsidR="00EF62BC">
        <w:t>Les garanties financières, appelées aussi sûretés, constituées au titre du marché, peuvent se présenter sous trois formes, au choix du titulaire :</w:t>
      </w:r>
    </w:p>
    <w:p w:rsidR="00EF62BC" w:rsidRDefault="00EF62BC" w:rsidP="00EF62BC">
      <w:pPr>
        <w:pStyle w:val="Listenum"/>
        <w:numPr>
          <w:ilvl w:val="0"/>
          <w:numId w:val="30"/>
        </w:numPr>
      </w:pPr>
      <w:r>
        <w:t>cautionnement (cf. articles 91 à 95 de la délibération n° 424 du 20 mars 2019) ;</w:t>
      </w:r>
    </w:p>
    <w:p w:rsidR="00EF62BC" w:rsidRDefault="00EF62BC" w:rsidP="00EF62BC">
      <w:pPr>
        <w:pStyle w:val="Listenum"/>
        <w:numPr>
          <w:ilvl w:val="0"/>
          <w:numId w:val="30"/>
        </w:numPr>
      </w:pPr>
      <w:r>
        <w:t>retenue de garantie sur acompte, en substitution du cautionnement (cf. article 77 de la même délibération) ;</w:t>
      </w:r>
    </w:p>
    <w:p w:rsidR="00EF62BC" w:rsidRDefault="00EF62BC" w:rsidP="00EF62BC">
      <w:pPr>
        <w:pStyle w:val="Listenum"/>
        <w:numPr>
          <w:ilvl w:val="0"/>
          <w:numId w:val="30"/>
        </w:numPr>
      </w:pPr>
      <w:r>
        <w:t xml:space="preserve">en remplacement du cautionnement ou de la retenue de garantie, une caution personnelle et solidaire, généralement délivrée par un établissement de crédit, ayant le caractère d’une garantie à première demande, selon le modèle prévu à l’arrêté </w:t>
      </w:r>
      <w:r w:rsidRPr="00EF62BC">
        <w:t>n° 2019-2455/GNC du 26 no</w:t>
      </w:r>
      <w:r>
        <w:t>vembre 2019</w:t>
      </w:r>
      <w:r w:rsidR="006F4EA2">
        <w:t xml:space="preserve"> (cf. articles 78 et 79 de la même délibération)</w:t>
      </w:r>
      <w:r>
        <w:t>.</w:t>
      </w:r>
    </w:p>
    <w:p w:rsidR="007177B8" w:rsidRDefault="007177B8" w:rsidP="007177B8">
      <w:r>
        <w:t>Le titulaire fournit en même temps que le 1er décompte correspondant à l’exécution du marché, un cautionnement ou une caution personnelle et solidaire correspondant à 3% du montant initial HT du marché, hors taxes, hors variation de prix, hors avances.</w:t>
      </w:r>
    </w:p>
    <w:p w:rsidR="00CE7DA9" w:rsidRDefault="007177B8" w:rsidP="007177B8">
      <w:r>
        <w:t>A défaut, une retenue de garantie du même pourcentage est appliquée aux montants exécutés présentés dans les décomptes jusqu’à concurrence du montant de ce cautionnement, et jusqu’à fourniture éventuelle d’une caution.</w:t>
      </w:r>
    </w:p>
    <w:p w:rsidR="00A4744F" w:rsidRDefault="00A4744F" w:rsidP="00A4744F">
      <w:pPr>
        <w:pStyle w:val="2NIV2"/>
      </w:pPr>
      <w:bookmarkStart w:id="144" w:name="_Toc60319569"/>
      <w:r>
        <w:t xml:space="preserve">10.2.3 – </w:t>
      </w:r>
      <w:r w:rsidR="00595D2A">
        <w:t>Utilisation</w:t>
      </w:r>
      <w:r>
        <w:t xml:space="preserve"> des garanties financières</w:t>
      </w:r>
      <w:r w:rsidR="00595D2A">
        <w:t xml:space="preserve"> pour faire intervenir un prestataire tiers</w:t>
      </w:r>
      <w:bookmarkEnd w:id="144"/>
    </w:p>
    <w:p w:rsidR="00595D2A" w:rsidRDefault="00555941" w:rsidP="00595D2A">
      <w:pPr>
        <w:pStyle w:val="NormalX"/>
      </w:pPr>
      <w:sdt>
        <w:sdtPr>
          <w:id w:val="-1892645473"/>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w:t>
      </w:r>
      <w:r w:rsidR="00595D2A" w:rsidRPr="00A4744F">
        <w:t>Sans</w:t>
      </w:r>
      <w:r w:rsidR="0011750D">
        <w:t xml:space="preserve"> objet</w:t>
      </w:r>
      <w:r w:rsidR="00595D2A">
        <w:t>.</w:t>
      </w:r>
    </w:p>
    <w:p w:rsidR="00595D2A" w:rsidRDefault="00555941" w:rsidP="00595D2A">
      <w:pPr>
        <w:pStyle w:val="NormalX"/>
      </w:pPr>
      <w:sdt>
        <w:sdtPr>
          <w:id w:val="-2004964155"/>
          <w14:checkbox>
            <w14:checked w14:val="0"/>
            <w14:checkedState w14:val="2612" w14:font="MS Gothic"/>
            <w14:uncheckedState w14:val="2610" w14:font="MS Gothic"/>
          </w14:checkbox>
        </w:sdtPr>
        <w:sdtEndPr/>
        <w:sdtContent>
          <w:r w:rsidR="00595D2A">
            <w:rPr>
              <w:rFonts w:ascii="MS Gothic" w:eastAsia="MS Gothic" w:hAnsi="MS Gothic" w:hint="eastAsia"/>
            </w:rPr>
            <w:t>☐</w:t>
          </w:r>
        </w:sdtContent>
      </w:sdt>
      <w:r w:rsidR="00595D2A">
        <w:t xml:space="preserve"> </w:t>
      </w:r>
      <w:r w:rsidR="0011750D">
        <w:t>S’il est possible de faire intervenir un prestataire tiers en lieu et place du titulaire, l</w:t>
      </w:r>
      <w:r w:rsidR="00595D2A">
        <w:t xml:space="preserve">’utilisation des garanties financières pendant le délai de garantie </w:t>
      </w:r>
      <w:r w:rsidR="0011750D">
        <w:t>à cette fin respecte</w:t>
      </w:r>
      <w:r w:rsidR="00595D2A">
        <w:t xml:space="preserve"> les phases suivantes :</w:t>
      </w:r>
    </w:p>
    <w:p w:rsidR="00595D2A" w:rsidRDefault="00595D2A" w:rsidP="00702D28">
      <w:pPr>
        <w:pStyle w:val="Listenum"/>
        <w:numPr>
          <w:ilvl w:val="0"/>
          <w:numId w:val="31"/>
        </w:numPr>
      </w:pPr>
      <w:r>
        <w:t xml:space="preserve">Constat que les réserves de réception n’ont pas été levées dans les délais notifiés ou qu’il n’a pas été remédié </w:t>
      </w:r>
      <w:r w:rsidR="00B03E25">
        <w:t xml:space="preserve">aux défauts ou désordres </w:t>
      </w:r>
      <w:r>
        <w:t xml:space="preserve">apparus pendant le délai de garantie, en référence </w:t>
      </w:r>
      <w:r w:rsidR="0011750D">
        <w:t xml:space="preserve">à un procès-verbal contradictoire ou </w:t>
      </w:r>
      <w:r>
        <w:t xml:space="preserve">à la lettre particulière de signalement </w:t>
      </w:r>
      <w:r w:rsidR="0011750D">
        <w:t xml:space="preserve">ou persistance </w:t>
      </w:r>
      <w:r>
        <w:t>du désordre, notifiée pendant le délai de garantie.</w:t>
      </w:r>
    </w:p>
    <w:p w:rsidR="00595D2A" w:rsidRDefault="00595D2A" w:rsidP="0011750D">
      <w:pPr>
        <w:pStyle w:val="Listenum"/>
        <w:numPr>
          <w:ilvl w:val="0"/>
          <w:numId w:val="31"/>
        </w:numPr>
      </w:pPr>
      <w:r>
        <w:t>Notification au titulaire</w:t>
      </w:r>
      <w:r w:rsidR="0011750D">
        <w:t xml:space="preserve"> du constat</w:t>
      </w:r>
      <w:r>
        <w:t xml:space="preserve">, </w:t>
      </w:r>
      <w:r w:rsidR="0011750D">
        <w:t xml:space="preserve">de la décision de s’opposer à la levée des sûretés, et d’une </w:t>
      </w:r>
      <w:r>
        <w:t xml:space="preserve">mise en demeure d’exécuter les </w:t>
      </w:r>
      <w:r w:rsidR="0011750D">
        <w:t>prestations</w:t>
      </w:r>
      <w:r>
        <w:t xml:space="preserve"> de remédiation dans un délai spécifié (minimum 10 jours sauf urgence), après quoi </w:t>
      </w:r>
      <w:r w:rsidR="0011750D">
        <w:t>c</w:t>
      </w:r>
      <w:r>
        <w:t>es prestations</w:t>
      </w:r>
      <w:r w:rsidR="0011750D">
        <w:t xml:space="preserve"> seront</w:t>
      </w:r>
      <w:r>
        <w:t xml:space="preserve"> effectuée</w:t>
      </w:r>
      <w:r w:rsidR="0011750D">
        <w:t>s</w:t>
      </w:r>
      <w:r>
        <w:t xml:space="preserve"> par une entreprise tierce aux frais du titulaire par prélèvement sur ses sûretés financières. </w:t>
      </w:r>
      <w:r w:rsidR="0011750D">
        <w:t xml:space="preserve">Le </w:t>
      </w:r>
      <w:r>
        <w:t>détenteur de sûreté correspondant (comptable public ou établissement bancaire) en recevr</w:t>
      </w:r>
      <w:r w:rsidR="0011750D">
        <w:t>a copie.</w:t>
      </w:r>
    </w:p>
    <w:p w:rsidR="00595D2A" w:rsidRDefault="00595D2A" w:rsidP="0011750D">
      <w:pPr>
        <w:pStyle w:val="Listenum"/>
      </w:pPr>
      <w:r>
        <w:t xml:space="preserve">A l'issue du délai de mise en demeure restée infructueuse, notification par lettre à l’organisme détenteur de la sûreté (comptable public ou organisme bancaire), pour l'informer du résultat infructueux de la mise en demeure, du lancement des </w:t>
      </w:r>
      <w:r w:rsidR="0011750D">
        <w:t>prestations</w:t>
      </w:r>
      <w:r>
        <w:t xml:space="preserve"> de remédiation, et de la remise prochaine d’une facture à payer après exécution des prestations de reprise par l'entreprise tierce.</w:t>
      </w:r>
      <w:r w:rsidR="0011750D">
        <w:t xml:space="preserve"> </w:t>
      </w:r>
      <w:r>
        <w:t xml:space="preserve">Sont joints à cette lettre la mise en demeure, et le devis de l’entreprise tierce (avec dates </w:t>
      </w:r>
      <w:r w:rsidR="00F26629">
        <w:t>d’exécution des</w:t>
      </w:r>
      <w:r w:rsidR="0011750D">
        <w:t xml:space="preserve"> prestations prévues) et une copie de tous les documents </w:t>
      </w:r>
      <w:r>
        <w:t>est notifiée au titulaire d</w:t>
      </w:r>
      <w:r w:rsidR="0011750D">
        <w:t>u marché avant début des prestations</w:t>
      </w:r>
      <w:r>
        <w:t>.</w:t>
      </w:r>
    </w:p>
    <w:p w:rsidR="006B1010" w:rsidRDefault="00595D2A" w:rsidP="00F26629">
      <w:pPr>
        <w:pStyle w:val="Listenum"/>
      </w:pPr>
      <w:r>
        <w:t xml:space="preserve">Exécution des </w:t>
      </w:r>
      <w:r w:rsidR="0011750D">
        <w:t>prestations</w:t>
      </w:r>
      <w:r>
        <w:t xml:space="preserve"> de remédiation par l’entreprise tierce, constat écrit (par le maître d'œuvre ou par les services de l’acheteur public) de l</w:t>
      </w:r>
      <w:r w:rsidR="00F26629">
        <w:t>eur</w:t>
      </w:r>
      <w:r>
        <w:t xml:space="preserve"> bonne exécution, émission de la facture, et envoi de ces deux documents à l’organisme détenteur de la sûreté pour paiement. Copie en est faite au titulaire du marché.</w:t>
      </w:r>
    </w:p>
    <w:p w:rsidR="00595D2A" w:rsidRDefault="00595D2A" w:rsidP="00595D2A">
      <w:pPr>
        <w:pStyle w:val="2NIV2"/>
      </w:pPr>
      <w:bookmarkStart w:id="145" w:name="_Toc60319570"/>
      <w:r>
        <w:t>10.2.4 – Restitution des garanties financières</w:t>
      </w:r>
      <w:bookmarkEnd w:id="145"/>
    </w:p>
    <w:p w:rsidR="00595D2A" w:rsidRDefault="00595D2A" w:rsidP="00595D2A">
      <w:r>
        <w:t>Les dispositions de l’article 80 de la délibération n° 424 du 20 mars 2019 s’appliquent.</w:t>
      </w:r>
    </w:p>
    <w:p w:rsidR="006F4EA2" w:rsidRDefault="006F4EA2" w:rsidP="006F4EA2">
      <w:pPr>
        <w:pStyle w:val="1NIV1"/>
      </w:pPr>
      <w:bookmarkStart w:id="146" w:name="_Toc60319571"/>
      <w:r>
        <w:t>10.3  – ASSURANCES</w:t>
      </w:r>
      <w:bookmarkEnd w:id="146"/>
    </w:p>
    <w:p w:rsidR="006B1010" w:rsidRDefault="006F4EA2" w:rsidP="006F4EA2">
      <w:pPr>
        <w:pStyle w:val="2NIV2"/>
      </w:pPr>
      <w:bookmarkStart w:id="147" w:name="_Toc60319572"/>
      <w:r>
        <w:t>10.3.1 – Assurance professionnelle</w:t>
      </w:r>
      <w:bookmarkEnd w:id="147"/>
      <w:r>
        <w:t xml:space="preserve"> </w:t>
      </w:r>
    </w:p>
    <w:p w:rsidR="006B1010" w:rsidRDefault="006B1010" w:rsidP="006B1010">
      <w:r>
        <w:t>Le prestataire déclare être titulaire d’une assurance « Responsabilité Civile », couvrant les dommages matériels ou immatériels ayant pour origine une erreur, malfaçon ou faute quelconque du prestataire et de ses préposés dans l’exécution des prestations du marché.</w:t>
      </w:r>
    </w:p>
    <w:p w:rsidR="006B1010" w:rsidRDefault="006B1010" w:rsidP="006B1010">
      <w:r>
        <w:t>Sur demande écrite du référent du marché, il devra immédiatement produire l’attestat</w:t>
      </w:r>
      <w:r w:rsidR="00CE7DA9">
        <w:t>ion d’assurance correspondante</w:t>
      </w:r>
      <w:r>
        <w:t>.</w:t>
      </w:r>
    </w:p>
    <w:p w:rsidR="006F4EA2" w:rsidRDefault="006F4EA2" w:rsidP="006F4EA2">
      <w:pPr>
        <w:pStyle w:val="2NIV2"/>
      </w:pPr>
      <w:bookmarkStart w:id="148" w:name="_Toc60319573"/>
      <w:r>
        <w:t>10.3.2 – Assurance décennale</w:t>
      </w:r>
      <w:bookmarkEnd w:id="148"/>
      <w:r>
        <w:t xml:space="preserve"> </w:t>
      </w:r>
    </w:p>
    <w:p w:rsidR="006F4EA2" w:rsidRDefault="00555941" w:rsidP="006F4EA2">
      <w:pPr>
        <w:pStyle w:val="NormalX"/>
      </w:pPr>
      <w:sdt>
        <w:sdtPr>
          <w:id w:val="1033152505"/>
          <w14:checkbox>
            <w14:checked w14:val="0"/>
            <w14:checkedState w14:val="2612" w14:font="MS Gothic"/>
            <w14:uncheckedState w14:val="2610" w14:font="MS Gothic"/>
          </w14:checkbox>
        </w:sdtPr>
        <w:sdtEndPr/>
        <w:sdtContent>
          <w:r w:rsidR="006F4EA2">
            <w:rPr>
              <w:rFonts w:ascii="MS Gothic" w:eastAsia="MS Gothic" w:hAnsi="MS Gothic" w:hint="eastAsia"/>
            </w:rPr>
            <w:t>☐</w:t>
          </w:r>
        </w:sdtContent>
      </w:sdt>
      <w:r w:rsidR="006F4EA2">
        <w:t xml:space="preserve"> Sans objet.</w:t>
      </w:r>
    </w:p>
    <w:p w:rsidR="006F4EA2" w:rsidRDefault="00555941" w:rsidP="006F4EA2">
      <w:pPr>
        <w:pStyle w:val="NormalX"/>
      </w:pPr>
      <w:sdt>
        <w:sdtPr>
          <w:id w:val="1526128539"/>
          <w14:checkbox>
            <w14:checked w14:val="0"/>
            <w14:checkedState w14:val="2612" w14:font="MS Gothic"/>
            <w14:uncheckedState w14:val="2610" w14:font="MS Gothic"/>
          </w14:checkbox>
        </w:sdtPr>
        <w:sdtEndPr/>
        <w:sdtContent>
          <w:r w:rsidR="006F4EA2">
            <w:rPr>
              <w:rFonts w:ascii="MS Gothic" w:eastAsia="MS Gothic" w:hAnsi="MS Gothic" w:hint="eastAsia"/>
            </w:rPr>
            <w:t>☐</w:t>
          </w:r>
        </w:sdtContent>
      </w:sdt>
      <w:r w:rsidR="006F4EA2">
        <w:t xml:space="preserve"> Le prestataire déclare être titulaire d’une assurance décennale, en application des lois </w:t>
      </w:r>
      <w:r w:rsidR="006F4EA2" w:rsidRPr="006F4EA2">
        <w:t>du pays n° 2019-4 du 5 février 2019 relative à la responsabilité et à l'assurance de la construction</w:t>
      </w:r>
      <w:r w:rsidR="006F4EA2">
        <w:t xml:space="preserve"> et n° 2020-4 du 30 janvier 2020 relative à la mise en œuvre de l’obligation d’assurer dans le secteur de la construction.</w:t>
      </w:r>
    </w:p>
    <w:p w:rsidR="006F4EA2" w:rsidRDefault="006F4EA2" w:rsidP="006F4EA2">
      <w:r>
        <w:t>Sur demande écrite du référent du marché, il devra immédiatement produire l’attestation d’assurance correspondante.</w:t>
      </w:r>
    </w:p>
    <w:p w:rsidR="001A491C" w:rsidRDefault="001A491C">
      <w:pPr>
        <w:overflowPunct/>
        <w:autoSpaceDE/>
        <w:autoSpaceDN/>
        <w:adjustRightInd/>
        <w:spacing w:before="0" w:after="0"/>
        <w:ind w:left="0"/>
        <w:jc w:val="left"/>
        <w:textAlignment w:val="auto"/>
      </w:pPr>
      <w:r>
        <w:br w:type="page"/>
      </w:r>
    </w:p>
    <w:p w:rsidR="006B1010" w:rsidRDefault="006B1010" w:rsidP="006F4EA2">
      <w:pPr>
        <w:pStyle w:val="0ENTETE"/>
      </w:pPr>
      <w:bookmarkStart w:id="149" w:name="_Toc60319574"/>
      <w:r>
        <w:t>ARTICLE 11  -  PROPRIETE INTELLECTUELLE</w:t>
      </w:r>
      <w:bookmarkEnd w:id="149"/>
    </w:p>
    <w:p w:rsidR="00D06C53" w:rsidRDefault="00555941" w:rsidP="00D06C53">
      <w:pPr>
        <w:pStyle w:val="NormalX"/>
      </w:pPr>
      <w:sdt>
        <w:sdtPr>
          <w:id w:val="-1462109240"/>
          <w14:checkbox>
            <w14:checked w14:val="0"/>
            <w14:checkedState w14:val="2612" w14:font="MS Gothic"/>
            <w14:uncheckedState w14:val="2610" w14:font="MS Gothic"/>
          </w14:checkbox>
        </w:sdtPr>
        <w:sdtEndPr/>
        <w:sdtContent>
          <w:r w:rsidR="00D06C53">
            <w:rPr>
              <w:rFonts w:ascii="MS Gothic" w:eastAsia="MS Gothic" w:hAnsi="MS Gothic" w:hint="eastAsia"/>
            </w:rPr>
            <w:t>☐</w:t>
          </w:r>
        </w:sdtContent>
      </w:sdt>
      <w:r w:rsidR="00D06C53">
        <w:t xml:space="preserve"> Sans objet.</w:t>
      </w:r>
    </w:p>
    <w:p w:rsidR="00D06C53" w:rsidRDefault="00555941" w:rsidP="00D06C53">
      <w:pPr>
        <w:pStyle w:val="NormalX"/>
      </w:pPr>
      <w:sdt>
        <w:sdtPr>
          <w:id w:val="-1528327479"/>
          <w14:checkbox>
            <w14:checked w14:val="0"/>
            <w14:checkedState w14:val="2612" w14:font="MS Gothic"/>
            <w14:uncheckedState w14:val="2610" w14:font="MS Gothic"/>
          </w14:checkbox>
        </w:sdtPr>
        <w:sdtEndPr/>
        <w:sdtContent>
          <w:r w:rsidR="00D06C53">
            <w:rPr>
              <w:rFonts w:ascii="MS Gothic" w:eastAsia="MS Gothic" w:hAnsi="MS Gothic" w:hint="eastAsia"/>
            </w:rPr>
            <w:t>☐</w:t>
          </w:r>
        </w:sdtContent>
      </w:sdt>
      <w:r w:rsidR="00D06C53">
        <w:t xml:space="preserve"> Dans le cas où le titulaire possède des droits patrimoniaux d’auteur concernant l’exploitation de l’œuvre de conception (plans, documents, etc…) ou les édifices / ouvrages construits selon cette œuvre, ces droits sont cédés en totalité </w:t>
      </w:r>
      <w:r w:rsidR="0090273D">
        <w:t>à l’acheteur public</w:t>
      </w:r>
      <w:r w:rsidR="00D06C53">
        <w:t>, notamment :</w:t>
      </w:r>
    </w:p>
    <w:p w:rsidR="00D06C53" w:rsidRDefault="00D06C53" w:rsidP="00D06C53">
      <w:pPr>
        <w:pStyle w:val="Listenormale"/>
      </w:pPr>
      <w:r>
        <w:t>le droit de représentation (divulgation, communication au public) ;</w:t>
      </w:r>
    </w:p>
    <w:p w:rsidR="00D06C53" w:rsidRDefault="00D06C53" w:rsidP="00D06C53">
      <w:pPr>
        <w:pStyle w:val="Listenormale"/>
      </w:pPr>
      <w:r>
        <w:t>le droit de reproduction (communication indirecte au public) ;</w:t>
      </w:r>
    </w:p>
    <w:p w:rsidR="00D06C53" w:rsidRDefault="00D06C53" w:rsidP="00702D28">
      <w:pPr>
        <w:pStyle w:val="Listenormale"/>
      </w:pPr>
      <w:r>
        <w:t xml:space="preserve">le droit de modification, adaptation, transformation, arrangement ou reproduction par un art ou un procédé quelconque, par </w:t>
      </w:r>
      <w:r w:rsidR="0090273D">
        <w:t>l’acheteur public</w:t>
      </w:r>
      <w:r>
        <w:t xml:space="preserve"> ou tout intervenant mandaté par ce dernier, dans le cadre de la continuation du projet et de la réalisation de l’opération (notamment en cas de défaillance du titulaire du présent marché), ou dans le cadre des besoins d’évolution des édifices / ouvrages au cours de leur vie pour des motifs fonctionnels, règlementaires ou d’intérêt général.</w:t>
      </w:r>
    </w:p>
    <w:p w:rsidR="00D06C53" w:rsidRDefault="00D06C53" w:rsidP="00D06C53">
      <w:r>
        <w:t xml:space="preserve">Les éventuels droits d’exploitation de l’œuvre de conception sont cédés </w:t>
      </w:r>
      <w:r w:rsidR="0090273D">
        <w:t>à l’acheteur public</w:t>
      </w:r>
      <w:r>
        <w:t xml:space="preserve"> à titre non exclusif. Le titulaire peut donc librement en user.</w:t>
      </w:r>
    </w:p>
    <w:p w:rsidR="00D06C53" w:rsidRDefault="00D06C53" w:rsidP="00D06C53">
      <w:r>
        <w:t>Les droits ci-dessus sont cédés jusqu’à 30 ans après la réception des</w:t>
      </w:r>
      <w:r w:rsidR="0090273D">
        <w:t xml:space="preserve"> prestations ou des</w:t>
      </w:r>
      <w:r>
        <w:t xml:space="preserve"> travaux concernant les édifices et ouvrages.</w:t>
      </w:r>
    </w:p>
    <w:p w:rsidR="00D06C53" w:rsidRDefault="00D06C53" w:rsidP="00D06C53">
      <w:r>
        <w:t>L’exercice du droit de représentation s’étend à tous les supports y compris les plateformes numériques sur internet sur l’ensemble des territoires français et sur les territoires non français de la région du Pacifique Ouest.</w:t>
      </w:r>
    </w:p>
    <w:p w:rsidR="001A491C" w:rsidRDefault="001A491C" w:rsidP="00D06C53"/>
    <w:p w:rsidR="006B1010" w:rsidRDefault="006B1010" w:rsidP="00D06C53">
      <w:pPr>
        <w:pStyle w:val="0ENTETE"/>
      </w:pPr>
      <w:bookmarkStart w:id="150" w:name="_Toc60319575"/>
      <w:r>
        <w:t>ARTICLE  12 - RESILIATION</w:t>
      </w:r>
      <w:bookmarkEnd w:id="150"/>
    </w:p>
    <w:p w:rsidR="00223263" w:rsidRDefault="00223263" w:rsidP="00223263">
      <w:r>
        <w:t>En cas de mauvaise exécution ou de manquements aux obligations contractuelles et après mise en demeure, adressée par lettre recommandée avec avis de réception ou contre récépissé, restée sans effet, l’acheteur public peut résilier unilatéralement le marché par décision de la personne responsable du marché sans indemnisation du titulaire.</w:t>
      </w:r>
    </w:p>
    <w:p w:rsidR="00223263" w:rsidRDefault="00223263" w:rsidP="00223263">
      <w:r>
        <w:t>Le défaut d’assurance entraîne également la résiliation du marché de plein droit.</w:t>
      </w:r>
    </w:p>
    <w:p w:rsidR="00223263" w:rsidRDefault="00223263" w:rsidP="00223263">
      <w:r>
        <w:t>Enfin, 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marché ou n’a pas répondu dans le délai d’un mois.</w:t>
      </w:r>
    </w:p>
    <w:p w:rsidR="00223263" w:rsidRPr="00EE4838" w:rsidRDefault="00223263" w:rsidP="00223263">
      <w:pPr>
        <w:spacing w:before="80"/>
      </w:pPr>
      <w:r>
        <w:t>En cas de résiliation, toutes les fournitures, prestations ou travaux livrés et acceptés par l’acheteur public restent sa propriété, et ce dernier peut en disposer, les mettre à disposition d’autres prestataires pour continuer l’objet du marché, au besoin en opérant certaines modifications.</w:t>
      </w:r>
    </w:p>
    <w:p w:rsidR="001A491C" w:rsidRDefault="001A491C">
      <w:pPr>
        <w:overflowPunct/>
        <w:autoSpaceDE/>
        <w:autoSpaceDN/>
        <w:adjustRightInd/>
        <w:spacing w:before="0" w:after="0"/>
        <w:ind w:left="0"/>
        <w:jc w:val="left"/>
        <w:textAlignment w:val="auto"/>
      </w:pPr>
      <w:r>
        <w:br w:type="page"/>
      </w:r>
    </w:p>
    <w:p w:rsidR="006B1010" w:rsidRDefault="006B1010" w:rsidP="001A491C">
      <w:pPr>
        <w:pStyle w:val="0ENTETE"/>
      </w:pPr>
      <w:bookmarkStart w:id="151" w:name="_Toc60319576"/>
      <w:r>
        <w:t>ARTICLE 13 – PROTECTION  DES DONNEES PERSONNELLES</w:t>
      </w:r>
      <w:bookmarkEnd w:id="151"/>
    </w:p>
    <w:p w:rsidR="006B1010" w:rsidRDefault="006B1010" w:rsidP="006B1010">
      <w:r>
        <w:t>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6B1010" w:rsidRDefault="006B1010" w:rsidP="006B1010">
      <w:r>
        <w:t>Dans le cas où le recueil et le traitement de certaines données personnelles relatives aux bénéficiaires sont indispensables à l’exécution du marché, ces données transmises par l’acheteur public au prestataire doivent être réservées exclusivement à l’exécution des prestations objet du marché.</w:t>
      </w:r>
    </w:p>
    <w:p w:rsidR="006B1010" w:rsidRDefault="006B1010" w:rsidP="001A491C">
      <w:r>
        <w:t>Ces données sont transmises par l’acheteur public au prestataire et doivent être réservées exclusivement à l’exécution des prestations objet du marché.</w:t>
      </w:r>
    </w:p>
    <w:p w:rsidR="006B1010" w:rsidRDefault="006B1010" w:rsidP="006B1010">
      <w:r>
        <w:t>Le prestataire s’engage notamment à garantir leur confidentialité, par l’adoption de mesures internes liées à son système d’information ou concernant son personnel.</w:t>
      </w:r>
    </w:p>
    <w:p w:rsidR="006B1010" w:rsidRDefault="006B1010" w:rsidP="006B1010">
      <w:r>
        <w:t>Le prestataire doit aider l’acheteur public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6B1010" w:rsidRDefault="006B1010" w:rsidP="006B1010">
      <w:r>
        <w:t>Il l’informe immédiatement de toute demande des bénéficiaires et de toute situation de violation de la protection des données personnelles.</w:t>
      </w:r>
    </w:p>
    <w:p w:rsidR="006B1010" w:rsidRDefault="006B1010" w:rsidP="006B1010">
      <w:r>
        <w:t>Au terme de la prestation de services, le prestataire s’engage à détruire toutes les copies des données existantes dans son système d’information et à justifier par écrit de cette destruction.</w:t>
      </w:r>
    </w:p>
    <w:p w:rsidR="001A491C" w:rsidRDefault="001A491C">
      <w:pPr>
        <w:overflowPunct/>
        <w:autoSpaceDE/>
        <w:autoSpaceDN/>
        <w:adjustRightInd/>
        <w:spacing w:before="0" w:after="0"/>
        <w:ind w:left="0"/>
        <w:jc w:val="left"/>
        <w:textAlignment w:val="auto"/>
      </w:pPr>
      <w:r>
        <w:br w:type="page"/>
      </w:r>
    </w:p>
    <w:p w:rsidR="002376D8" w:rsidRDefault="002376D8" w:rsidP="005F43A6">
      <w:pPr>
        <w:pStyle w:val="0ENTETE"/>
      </w:pPr>
      <w:bookmarkStart w:id="152" w:name="_Toc60319577"/>
      <w:bookmarkEnd w:id="102"/>
      <w:bookmarkEnd w:id="103"/>
      <w:r>
        <w:t>ARTICLE 14 – DEROGATIONS AU CCAG</w:t>
      </w:r>
      <w:bookmarkEnd w:id="152"/>
    </w:p>
    <w:p w:rsidR="00DB59F5" w:rsidRDefault="00555941" w:rsidP="00DB59F5">
      <w:pPr>
        <w:pStyle w:val="NormalX"/>
      </w:pPr>
      <w:sdt>
        <w:sdtPr>
          <w:id w:val="-99569875"/>
          <w14:checkbox>
            <w14:checked w14:val="0"/>
            <w14:checkedState w14:val="2612" w14:font="MS Gothic"/>
            <w14:uncheckedState w14:val="2610" w14:font="MS Gothic"/>
          </w14:checkbox>
        </w:sdtPr>
        <w:sdtEndPr/>
        <w:sdtContent>
          <w:r w:rsidR="00DB59F5">
            <w:rPr>
              <w:rFonts w:ascii="MS Gothic" w:eastAsia="MS Gothic" w:hAnsi="MS Gothic" w:hint="eastAsia"/>
            </w:rPr>
            <w:t>☐</w:t>
          </w:r>
        </w:sdtContent>
      </w:sdt>
      <w:r w:rsidR="00DB59F5">
        <w:t xml:space="preserve"> Sans objet.</w:t>
      </w:r>
    </w:p>
    <w:p w:rsidR="00DB59F5" w:rsidRDefault="00555941" w:rsidP="00DB59F5">
      <w:pPr>
        <w:pStyle w:val="NormalX"/>
      </w:pPr>
      <w:sdt>
        <w:sdtPr>
          <w:id w:val="-1385625783"/>
          <w14:checkbox>
            <w14:checked w14:val="0"/>
            <w14:checkedState w14:val="2612" w14:font="MS Gothic"/>
            <w14:uncheckedState w14:val="2610" w14:font="MS Gothic"/>
          </w14:checkbox>
        </w:sdtPr>
        <w:sdtEndPr/>
        <w:sdtContent>
          <w:r w:rsidR="00DB59F5" w:rsidRPr="001E1B5D">
            <w:rPr>
              <w:rFonts w:eastAsia="MS Gothic" w:hint="eastAsia"/>
            </w:rPr>
            <w:t>☐</w:t>
          </w:r>
        </w:sdtContent>
      </w:sdt>
      <w:r w:rsidR="00DB59F5" w:rsidRPr="001E1B5D">
        <w:t xml:space="preserve"> </w:t>
      </w:r>
      <w:r w:rsidR="00DB59F5">
        <w:t>Tableau des dérogations apportées par le présent CCAP :</w:t>
      </w:r>
    </w:p>
    <w:tbl>
      <w:tblPr>
        <w:tblStyle w:val="Grilledutableau"/>
        <w:tblW w:w="0" w:type="auto"/>
        <w:tblInd w:w="959" w:type="dxa"/>
        <w:tblLook w:val="04A0" w:firstRow="1" w:lastRow="0" w:firstColumn="1" w:lastColumn="0" w:noHBand="0" w:noVBand="1"/>
      </w:tblPr>
      <w:tblGrid>
        <w:gridCol w:w="4164"/>
        <w:gridCol w:w="4165"/>
      </w:tblGrid>
      <w:tr w:rsidR="009034D5" w:rsidTr="009D065A">
        <w:tc>
          <w:tcPr>
            <w:tcW w:w="4164" w:type="dxa"/>
          </w:tcPr>
          <w:p w:rsidR="009034D5" w:rsidRDefault="009034D5" w:rsidP="009D065A">
            <w:pPr>
              <w:pStyle w:val="NormalX"/>
              <w:ind w:left="0" w:firstLine="0"/>
            </w:pPr>
            <w:r>
              <w:t>Articles du CCAG auquel une disposition du présent CCAP déroge</w:t>
            </w:r>
          </w:p>
        </w:tc>
        <w:tc>
          <w:tcPr>
            <w:tcW w:w="4165" w:type="dxa"/>
          </w:tcPr>
          <w:p w:rsidR="009034D5" w:rsidRDefault="009034D5" w:rsidP="009D065A">
            <w:pPr>
              <w:pStyle w:val="NormalX"/>
              <w:ind w:left="0" w:firstLine="0"/>
            </w:pPr>
            <w:r>
              <w:t>Article du CCAP qui déroge au CCAG</w:t>
            </w:r>
          </w:p>
        </w:tc>
      </w:tr>
      <w:tr w:rsidR="009034D5" w:rsidTr="009D065A">
        <w:tc>
          <w:tcPr>
            <w:tcW w:w="4164" w:type="dxa"/>
          </w:tcPr>
          <w:p w:rsidR="009034D5" w:rsidRDefault="009034D5" w:rsidP="009D065A">
            <w:pPr>
              <w:pStyle w:val="NormalX"/>
              <w:ind w:left="0" w:firstLine="0"/>
            </w:pPr>
            <w:r>
              <w:t>13.21 b)</w:t>
            </w:r>
          </w:p>
        </w:tc>
        <w:tc>
          <w:tcPr>
            <w:tcW w:w="4165" w:type="dxa"/>
          </w:tcPr>
          <w:p w:rsidR="009034D5" w:rsidRDefault="00512FEB" w:rsidP="00512FEB">
            <w:pPr>
              <w:pStyle w:val="NormalX"/>
              <w:ind w:left="0" w:firstLine="0"/>
            </w:pPr>
            <w:r>
              <w:t>8.2.4</w:t>
            </w:r>
          </w:p>
        </w:tc>
      </w:tr>
      <w:tr w:rsidR="00AC657D" w:rsidTr="009D065A">
        <w:tc>
          <w:tcPr>
            <w:tcW w:w="4164" w:type="dxa"/>
          </w:tcPr>
          <w:p w:rsidR="00AC657D" w:rsidRDefault="00AC657D" w:rsidP="009D065A">
            <w:pPr>
              <w:pStyle w:val="NormalX"/>
              <w:ind w:left="0" w:firstLine="0"/>
            </w:pPr>
            <w:r>
              <w:t>10.42, 10.43</w:t>
            </w:r>
          </w:p>
        </w:tc>
        <w:tc>
          <w:tcPr>
            <w:tcW w:w="4165" w:type="dxa"/>
          </w:tcPr>
          <w:p w:rsidR="00AC657D" w:rsidRDefault="00AC657D" w:rsidP="009D065A">
            <w:pPr>
              <w:pStyle w:val="NormalX"/>
              <w:ind w:left="0" w:firstLine="0"/>
            </w:pPr>
            <w:r>
              <w:t>8.2</w:t>
            </w:r>
          </w:p>
        </w:tc>
      </w:tr>
      <w:tr w:rsidR="00AC657D" w:rsidTr="009D065A">
        <w:tc>
          <w:tcPr>
            <w:tcW w:w="4164" w:type="dxa"/>
          </w:tcPr>
          <w:p w:rsidR="00AC657D" w:rsidRDefault="00AC657D" w:rsidP="009D065A">
            <w:pPr>
              <w:pStyle w:val="NormalX"/>
              <w:ind w:left="0" w:firstLine="0"/>
            </w:pPr>
            <w:r>
              <w:t>13.11</w:t>
            </w:r>
          </w:p>
        </w:tc>
        <w:tc>
          <w:tcPr>
            <w:tcW w:w="4165" w:type="dxa"/>
          </w:tcPr>
          <w:p w:rsidR="00AC657D" w:rsidRDefault="00AC657D" w:rsidP="009D065A">
            <w:pPr>
              <w:pStyle w:val="NormalX"/>
              <w:ind w:left="0" w:firstLine="0"/>
            </w:pPr>
            <w:r>
              <w:t>8.</w:t>
            </w:r>
            <w:r w:rsidR="00512FEB">
              <w:t>1.</w:t>
            </w:r>
            <w:r>
              <w:t>2</w:t>
            </w:r>
            <w:r w:rsidR="00512FEB">
              <w:t>.1</w:t>
            </w:r>
          </w:p>
        </w:tc>
      </w:tr>
      <w:tr w:rsidR="009034D5" w:rsidTr="009D065A">
        <w:tc>
          <w:tcPr>
            <w:tcW w:w="4164" w:type="dxa"/>
          </w:tcPr>
          <w:p w:rsidR="009034D5" w:rsidRDefault="009034D5" w:rsidP="009D065A">
            <w:pPr>
              <w:pStyle w:val="NormalX"/>
              <w:ind w:left="0" w:firstLine="0"/>
            </w:pPr>
            <w:r>
              <w:t>2è alinéa de l'article 11.3</w:t>
            </w:r>
          </w:p>
        </w:tc>
        <w:tc>
          <w:tcPr>
            <w:tcW w:w="4165" w:type="dxa"/>
          </w:tcPr>
          <w:p w:rsidR="009034D5" w:rsidRDefault="00065B2B" w:rsidP="009D065A">
            <w:pPr>
              <w:pStyle w:val="NormalX"/>
              <w:ind w:left="0" w:firstLine="0"/>
            </w:pPr>
            <w:r>
              <w:t>8.2.2</w:t>
            </w:r>
          </w:p>
        </w:tc>
      </w:tr>
      <w:tr w:rsidR="009034D5" w:rsidTr="009D065A">
        <w:tc>
          <w:tcPr>
            <w:tcW w:w="4164" w:type="dxa"/>
          </w:tcPr>
          <w:p w:rsidR="009034D5" w:rsidRDefault="009034D5" w:rsidP="009D065A">
            <w:pPr>
              <w:pStyle w:val="NormalX"/>
              <w:ind w:left="0" w:firstLine="0"/>
            </w:pPr>
            <w:r>
              <w:t>46.3</w:t>
            </w:r>
          </w:p>
        </w:tc>
        <w:tc>
          <w:tcPr>
            <w:tcW w:w="4165" w:type="dxa"/>
          </w:tcPr>
          <w:p w:rsidR="009034D5" w:rsidRDefault="009034D5" w:rsidP="009D065A">
            <w:pPr>
              <w:pStyle w:val="NormalX"/>
              <w:ind w:left="0" w:firstLine="0"/>
            </w:pPr>
            <w:r>
              <w:t>12</w:t>
            </w:r>
          </w:p>
        </w:tc>
      </w:tr>
    </w:tbl>
    <w:p w:rsidR="002376D8" w:rsidRDefault="002376D8" w:rsidP="002376D8">
      <w:pPr>
        <w:pStyle w:val="NormalX"/>
      </w:pPr>
    </w:p>
    <w:p w:rsidR="001A491C" w:rsidRDefault="001A491C">
      <w:pPr>
        <w:overflowPunct/>
        <w:autoSpaceDE/>
        <w:autoSpaceDN/>
        <w:adjustRightInd/>
        <w:spacing w:before="0" w:after="0"/>
        <w:ind w:left="0"/>
        <w:jc w:val="left"/>
        <w:textAlignment w:val="auto"/>
        <w:sectPr w:rsidR="001A491C" w:rsidSect="00201BC5">
          <w:footerReference w:type="default" r:id="rId11"/>
          <w:pgSz w:w="11906" w:h="16838"/>
          <w:pgMar w:top="1134" w:right="1417" w:bottom="1417" w:left="1417" w:header="708" w:footer="562" w:gutter="0"/>
          <w:cols w:space="708"/>
          <w:docGrid w:linePitch="360"/>
        </w:sectPr>
      </w:pPr>
    </w:p>
    <w:p w:rsidR="005B569A" w:rsidRDefault="005B569A" w:rsidP="005F43A6">
      <w:pPr>
        <w:pStyle w:val="0ENTETE"/>
      </w:pPr>
      <w:bookmarkStart w:id="153" w:name="_Toc60319578"/>
      <w:r>
        <w:t>ANNEXE 1</w:t>
      </w:r>
      <w:r w:rsidR="00C7118C">
        <w:t xml:space="preserve"> AU CCAP</w:t>
      </w:r>
      <w:r>
        <w:t> : MODELE D’ACTE SPECIAL DE SOUS-TRAITANCE</w:t>
      </w:r>
      <w:bookmarkEnd w:id="153"/>
    </w:p>
    <w:p w:rsidR="005B569A" w:rsidRDefault="005B569A" w:rsidP="00E76F6F"/>
    <w:p w:rsidR="005B569A" w:rsidRDefault="005B569A" w:rsidP="00E76F6F">
      <w:pPr>
        <w:sectPr w:rsidR="005B569A" w:rsidSect="00201BC5">
          <w:footerReference w:type="default" r:id="rId12"/>
          <w:pgSz w:w="11906" w:h="16838"/>
          <w:pgMar w:top="1134" w:right="1417" w:bottom="1417" w:left="1417" w:header="708" w:footer="708" w:gutter="0"/>
          <w:pgNumType w:start="1"/>
          <w:cols w:space="708"/>
          <w:docGrid w:linePitch="360"/>
        </w:sectPr>
      </w:pPr>
    </w:p>
    <w:p w:rsidR="005B569A" w:rsidRPr="005B569A" w:rsidRDefault="001A491C" w:rsidP="002565F1">
      <w:pPr>
        <w:pStyle w:val="ANXNIV0"/>
        <w:rPr>
          <w:lang w:eastAsia="fr-FR"/>
        </w:rPr>
      </w:pPr>
      <w:r>
        <w:rPr>
          <w:lang w:eastAsia="fr-FR"/>
        </w:rPr>
        <w:t>ACTE SPECIAL N ° …………………..</w:t>
      </w:r>
      <w:r w:rsidR="00C7118C">
        <w:rPr>
          <w:lang w:eastAsia="fr-FR"/>
        </w:rPr>
        <w:t xml:space="preserve"> P</w:t>
      </w:r>
      <w:r w:rsidR="005B569A" w:rsidRPr="005B569A">
        <w:rPr>
          <w:lang w:eastAsia="fr-FR"/>
        </w:rPr>
        <w:t>ORTANT ACCEPTATION D'UN SOUS-TRAITANT ET</w:t>
      </w:r>
      <w:r w:rsidR="00C7118C">
        <w:rPr>
          <w:lang w:eastAsia="fr-FR"/>
        </w:rPr>
        <w:t xml:space="preserve"> </w:t>
      </w:r>
      <w:r w:rsidR="005B569A" w:rsidRPr="005B569A">
        <w:rPr>
          <w:lang w:eastAsia="fr-FR"/>
        </w:rPr>
        <w:t>AGREMENT DES CONDITIONS DE PAIEMENT</w:t>
      </w:r>
    </w:p>
    <w:p w:rsidR="005B569A" w:rsidRPr="005B569A" w:rsidRDefault="005B569A" w:rsidP="00C7118C">
      <w:pPr>
        <w:rPr>
          <w:lang w:eastAsia="fr-FR"/>
        </w:rPr>
      </w:pPr>
      <w:r w:rsidRPr="005B569A">
        <w:rPr>
          <w:lang w:eastAsia="fr-FR"/>
        </w:rPr>
        <w:t xml:space="preserve">Après signature </w:t>
      </w:r>
      <w:r w:rsidR="00A87C22">
        <w:rPr>
          <w:lang w:eastAsia="fr-FR"/>
        </w:rPr>
        <w:t>de l’acheteur public</w:t>
      </w:r>
      <w:r w:rsidRPr="005B569A">
        <w:rPr>
          <w:lang w:eastAsia="fr-FR"/>
        </w:rPr>
        <w:t xml:space="preserve"> ou silence de l’administration gardé pendant 21 jours à compter de la fourniture de toutes les pièces nécessaires, </w:t>
      </w:r>
      <w:r w:rsidRPr="005B569A">
        <w:rPr>
          <w:b/>
          <w:lang w:eastAsia="fr-FR"/>
        </w:rPr>
        <w:t>la présente déclaration de sous-traitance</w:t>
      </w:r>
      <w:r w:rsidRPr="005B569A">
        <w:rPr>
          <w:lang w:eastAsia="fr-FR"/>
        </w:rPr>
        <w:t> :</w:t>
      </w:r>
    </w:p>
    <w:p w:rsidR="005B569A" w:rsidRPr="005B569A" w:rsidRDefault="00555941" w:rsidP="00C7118C">
      <w:pPr>
        <w:rPr>
          <w:lang w:eastAsia="fr-FR"/>
        </w:rPr>
      </w:pPr>
      <w:sdt>
        <w:sdtPr>
          <w:rPr>
            <w:lang w:eastAsia="fr-FR"/>
          </w:rPr>
          <w:id w:val="1134375950"/>
          <w14:checkbox>
            <w14:checked w14:val="0"/>
            <w14:checkedState w14:val="2612" w14:font="MS Gothic"/>
            <w14:uncheckedState w14:val="2610" w14:font="MS Gothic"/>
          </w14:checkbox>
        </w:sdtPr>
        <w:sdtEndPr/>
        <w:sdtContent>
          <w:r w:rsidR="00C7118C">
            <w:rPr>
              <w:rFonts w:ascii="MS Gothic" w:eastAsia="MS Gothic" w:hAnsi="MS Gothic" w:hint="eastAsia"/>
              <w:lang w:eastAsia="fr-FR"/>
            </w:rPr>
            <w:t>☐</w:t>
          </w:r>
        </w:sdtContent>
      </w:sdt>
      <w:r w:rsidR="005B569A" w:rsidRPr="005B569A">
        <w:rPr>
          <w:lang w:eastAsia="fr-FR"/>
        </w:rPr>
        <w:t xml:space="preserve"> </w:t>
      </w:r>
      <w:proofErr w:type="gramStart"/>
      <w:r w:rsidR="005B569A" w:rsidRPr="005B569A">
        <w:rPr>
          <w:lang w:eastAsia="fr-FR"/>
        </w:rPr>
        <w:t>constitue</w:t>
      </w:r>
      <w:proofErr w:type="gramEnd"/>
      <w:r w:rsidR="005B569A" w:rsidRPr="005B569A">
        <w:rPr>
          <w:lang w:eastAsia="fr-FR"/>
        </w:rPr>
        <w:t xml:space="preserve"> un </w:t>
      </w:r>
      <w:r w:rsidR="005B569A" w:rsidRPr="005B569A">
        <w:rPr>
          <w:b/>
          <w:lang w:eastAsia="fr-FR"/>
        </w:rPr>
        <w:t>acte spécial</w:t>
      </w:r>
      <w:r w:rsidR="005B569A" w:rsidRPr="005B569A">
        <w:rPr>
          <w:lang w:eastAsia="fr-FR"/>
        </w:rPr>
        <w:t xml:space="preserve"> portant acceptation du sous-traitant et agrément de ses conditions de paiement.</w:t>
      </w:r>
    </w:p>
    <w:p w:rsidR="005B569A" w:rsidRPr="005B569A" w:rsidRDefault="00555941" w:rsidP="00C7118C">
      <w:pPr>
        <w:rPr>
          <w:lang w:eastAsia="fr-FR"/>
        </w:rPr>
      </w:pPr>
      <w:sdt>
        <w:sdtPr>
          <w:rPr>
            <w:lang w:eastAsia="fr-FR"/>
          </w:rPr>
          <w:id w:val="-1852718767"/>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lang w:eastAsia="fr-FR"/>
        </w:rPr>
        <w:t xml:space="preserve"> </w:t>
      </w:r>
      <w:proofErr w:type="gramStart"/>
      <w:r w:rsidR="005B569A" w:rsidRPr="005B569A">
        <w:rPr>
          <w:lang w:eastAsia="fr-FR"/>
        </w:rPr>
        <w:t>constitue</w:t>
      </w:r>
      <w:proofErr w:type="gramEnd"/>
      <w:r w:rsidR="005B569A" w:rsidRPr="005B569A">
        <w:rPr>
          <w:lang w:eastAsia="fr-FR"/>
        </w:rPr>
        <w:t xml:space="preserve"> un </w:t>
      </w:r>
      <w:r w:rsidR="005B569A" w:rsidRPr="005B569A">
        <w:rPr>
          <w:b/>
          <w:lang w:eastAsia="fr-FR"/>
        </w:rPr>
        <w:t>acte spécial modificatif</w:t>
      </w:r>
      <w:r w:rsidR="005B569A" w:rsidRPr="005B569A">
        <w:rPr>
          <w:lang w:eastAsia="fr-FR"/>
        </w:rPr>
        <w:t>, annulant et remplaçant :</w:t>
      </w:r>
    </w:p>
    <w:p w:rsidR="005B569A" w:rsidRPr="005B569A" w:rsidRDefault="005B569A" w:rsidP="00C7118C">
      <w:pPr>
        <w:rPr>
          <w:lang w:eastAsia="fr-FR"/>
        </w:rPr>
      </w:pPr>
      <w:proofErr w:type="gramStart"/>
      <w:r w:rsidRPr="005B569A">
        <w:rPr>
          <w:lang w:eastAsia="fr-FR"/>
        </w:rPr>
        <w:t>l’annexe</w:t>
      </w:r>
      <w:proofErr w:type="gramEnd"/>
      <w:r w:rsidRPr="005B569A">
        <w:rPr>
          <w:lang w:eastAsia="fr-FR"/>
        </w:rPr>
        <w:t xml:space="preserve"> n° ….  </w:t>
      </w:r>
      <w:proofErr w:type="gramStart"/>
      <w:r w:rsidRPr="005B569A">
        <w:rPr>
          <w:lang w:eastAsia="fr-FR"/>
        </w:rPr>
        <w:t>de</w:t>
      </w:r>
      <w:proofErr w:type="gramEnd"/>
      <w:r w:rsidRPr="005B569A">
        <w:rPr>
          <w:lang w:eastAsia="fr-FR"/>
        </w:rPr>
        <w:t xml:space="preserve"> l’acte d’engagement portant sur le même sous-traitant ;</w:t>
      </w:r>
    </w:p>
    <w:p w:rsidR="005B569A" w:rsidRDefault="00C7118C" w:rsidP="00C7118C">
      <w:pPr>
        <w:rPr>
          <w:lang w:eastAsia="fr-FR"/>
        </w:rPr>
      </w:pPr>
      <w:r w:rsidRPr="005B569A">
        <w:rPr>
          <w:noProof/>
          <w:lang w:eastAsia="fr-FR"/>
        </w:rPr>
        <mc:AlternateContent>
          <mc:Choice Requires="wps">
            <w:drawing>
              <wp:anchor distT="0" distB="0" distL="114300" distR="114300" simplePos="0" relativeHeight="251656192" behindDoc="0" locked="0" layoutInCell="1" allowOverlap="1" wp14:anchorId="726D944F" wp14:editId="70DF85EB">
                <wp:simplePos x="0" y="0"/>
                <wp:positionH relativeFrom="column">
                  <wp:posOffset>579120</wp:posOffset>
                </wp:positionH>
                <wp:positionV relativeFrom="paragraph">
                  <wp:posOffset>330835</wp:posOffset>
                </wp:positionV>
                <wp:extent cx="5200650" cy="2352675"/>
                <wp:effectExtent l="0" t="0" r="19050" b="28575"/>
                <wp:wrapTopAndBottom/>
                <wp:docPr id="2" name="Rectangle 2"/>
                <wp:cNvGraphicFramePr/>
                <a:graphic xmlns:a="http://schemas.openxmlformats.org/drawingml/2006/main">
                  <a:graphicData uri="http://schemas.microsoft.com/office/word/2010/wordprocessingShape">
                    <wps:wsp>
                      <wps:cNvSpPr/>
                      <wps:spPr>
                        <a:xfrm>
                          <a:off x="0" y="0"/>
                          <a:ext cx="5200650" cy="2352675"/>
                        </a:xfrm>
                        <a:prstGeom prst="rect">
                          <a:avLst/>
                        </a:prstGeom>
                        <a:noFill/>
                        <a:ln w="3175" cap="flat" cmpd="sng" algn="ctr">
                          <a:solidFill>
                            <a:sysClr val="window" lastClr="FFFFFF">
                              <a:lumMod val="75000"/>
                            </a:sysClr>
                          </a:solidFill>
                          <a:prstDash val="dash"/>
                        </a:ln>
                        <a:effectLst/>
                      </wps:spPr>
                      <wps:txbx>
                        <w:txbxContent>
                          <w:p w:rsidR="000171CB" w:rsidRPr="00425E48" w:rsidRDefault="000171CB"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5.6pt;margin-top:26.05pt;width:409.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" filled="f" strokecolor="#bfbfbf" strokeweight=".25pt">
                <v:stroke dashstyle="dash"/>
                <v:textbox inset="1mm,.5mm,1mm,1mm">
                  <w:txbxContent>
                    <w:p w:rsidR="000171CB" w:rsidRPr="00425E48" w:rsidRDefault="000171CB" w:rsidP="00C7118C">
                      <w:pPr>
                        <w:ind w:left="0"/>
                      </w:pPr>
                      <w:r w:rsidRPr="00425E48">
                        <w:t xml:space="preserve">Espace réservé à la mention prévue à l’article 97 de la </w:t>
                      </w:r>
                      <w:proofErr w:type="spellStart"/>
                      <w:r w:rsidRPr="00425E48">
                        <w:t>délib</w:t>
                      </w:r>
                      <w:proofErr w:type="spellEnd"/>
                      <w:r>
                        <w:t xml:space="preserve">. </w:t>
                      </w:r>
                      <w:proofErr w:type="gramStart"/>
                      <w:r>
                        <w:t>n</w:t>
                      </w:r>
                      <w:proofErr w:type="gramEnd"/>
                      <w:r>
                        <w:t>°</w:t>
                      </w:r>
                      <w:r w:rsidRPr="00425E48">
                        <w:t xml:space="preserve"> </w:t>
                      </w:r>
                      <w:r>
                        <w:t>424 du 20 mars 2019</w:t>
                      </w:r>
                    </w:p>
                  </w:txbxContent>
                </v:textbox>
                <w10:wrap type="topAndBottom"/>
              </v:rect>
            </w:pict>
          </mc:Fallback>
        </mc:AlternateContent>
      </w:r>
      <w:proofErr w:type="gramStart"/>
      <w:r w:rsidR="005B569A" w:rsidRPr="005B569A">
        <w:rPr>
          <w:lang w:eastAsia="fr-FR"/>
        </w:rPr>
        <w:t>l’acte</w:t>
      </w:r>
      <w:proofErr w:type="gramEnd"/>
      <w:r w:rsidR="005B569A" w:rsidRPr="005B569A">
        <w:rPr>
          <w:lang w:eastAsia="fr-FR"/>
        </w:rPr>
        <w:t xml:space="preserve"> spécial précédent n° ……. notifié à la date du ………….. </w:t>
      </w:r>
    </w:p>
    <w:p w:rsidR="005B569A" w:rsidRDefault="005B569A" w:rsidP="002565F1">
      <w:pPr>
        <w:pStyle w:val="ANXNIV1"/>
      </w:pPr>
      <w:r w:rsidRPr="00C7118C">
        <w:t>MARCHÉ :</w:t>
      </w:r>
    </w:p>
    <w:p w:rsidR="00C7118C" w:rsidRPr="00C7118C" w:rsidRDefault="00A87C22" w:rsidP="00C7118C">
      <w:pPr>
        <w:rPr>
          <w:lang w:eastAsia="fr-FR"/>
        </w:rPr>
      </w:pPr>
      <w:r>
        <w:rPr>
          <w:lang w:eastAsia="fr-FR"/>
        </w:rPr>
        <w:t>Acheteur public</w:t>
      </w:r>
      <w:r w:rsidR="00C7118C" w:rsidRPr="00C7118C">
        <w:rPr>
          <w:lang w:eastAsia="fr-FR"/>
        </w:rPr>
        <w:t xml:space="preserve"> :</w:t>
      </w:r>
      <w:r w:rsidR="00C7118C" w:rsidRPr="00C7118C">
        <w:rPr>
          <w:lang w:eastAsia="fr-FR"/>
        </w:rPr>
        <w:tab/>
      </w:r>
    </w:p>
    <w:p w:rsidR="00C7118C" w:rsidRPr="00C7118C" w:rsidRDefault="00C7118C" w:rsidP="00C7118C">
      <w:pPr>
        <w:rPr>
          <w:lang w:eastAsia="fr-FR"/>
        </w:rPr>
      </w:pPr>
      <w:r w:rsidRPr="00C7118C">
        <w:rPr>
          <w:lang w:eastAsia="fr-FR"/>
        </w:rPr>
        <w:t>Personne chargée de fournir les renseignements prévus à l’article 101 de la délibération 424 du 20/03/2019 modifiée :</w:t>
      </w:r>
      <w:r w:rsidRPr="00C7118C">
        <w:rPr>
          <w:lang w:eastAsia="fr-FR"/>
        </w:rPr>
        <w:tab/>
      </w:r>
    </w:p>
    <w:p w:rsidR="00C7118C" w:rsidRPr="00C7118C" w:rsidRDefault="00C7118C" w:rsidP="00C7118C">
      <w:pPr>
        <w:rPr>
          <w:lang w:eastAsia="fr-FR"/>
        </w:rPr>
      </w:pPr>
      <w:r w:rsidRPr="00C7118C">
        <w:rPr>
          <w:lang w:eastAsia="fr-FR"/>
        </w:rPr>
        <w:t>Comptable assignataire des paiements :</w:t>
      </w:r>
      <w:r w:rsidRPr="00C7118C">
        <w:rPr>
          <w:lang w:eastAsia="fr-FR"/>
        </w:rPr>
        <w:tab/>
      </w:r>
    </w:p>
    <w:p w:rsidR="00C7118C" w:rsidRPr="00C7118C" w:rsidRDefault="00C7118C" w:rsidP="00C7118C">
      <w:pPr>
        <w:rPr>
          <w:lang w:eastAsia="fr-FR"/>
        </w:rPr>
      </w:pPr>
      <w:r w:rsidRPr="00C7118C">
        <w:rPr>
          <w:lang w:eastAsia="fr-FR"/>
        </w:rPr>
        <w:t>N° du marché :</w:t>
      </w:r>
      <w:r w:rsidRPr="00C7118C">
        <w:rPr>
          <w:lang w:eastAsia="fr-FR"/>
        </w:rPr>
        <w:tab/>
      </w:r>
      <w:r w:rsidRPr="00C7118C">
        <w:rPr>
          <w:lang w:eastAsia="fr-FR"/>
        </w:rPr>
        <w:tab/>
        <w:t>notifié le :</w:t>
      </w:r>
      <w:r w:rsidRPr="00C7118C">
        <w:rPr>
          <w:lang w:eastAsia="fr-FR"/>
        </w:rPr>
        <w:tab/>
      </w:r>
      <w:r w:rsidRPr="00C7118C">
        <w:rPr>
          <w:lang w:eastAsia="fr-FR"/>
        </w:rPr>
        <w:tab/>
        <w:t>- Avenant n°</w:t>
      </w:r>
      <w:r w:rsidRPr="00C7118C">
        <w:rPr>
          <w:lang w:eastAsia="fr-FR"/>
        </w:rPr>
        <w:tab/>
      </w:r>
      <w:r w:rsidRPr="00C7118C">
        <w:rPr>
          <w:lang w:eastAsia="fr-FR"/>
        </w:rPr>
        <w:tab/>
        <w:t xml:space="preserve">notifié le : </w:t>
      </w:r>
      <w:r w:rsidRPr="00C7118C">
        <w:rPr>
          <w:lang w:eastAsia="fr-FR"/>
        </w:rPr>
        <w:tab/>
      </w:r>
    </w:p>
    <w:p w:rsidR="00C7118C" w:rsidRPr="00C7118C" w:rsidRDefault="00C7118C" w:rsidP="00C7118C">
      <w:pPr>
        <w:rPr>
          <w:lang w:eastAsia="fr-FR"/>
        </w:rPr>
      </w:pPr>
      <w:r w:rsidRPr="00C7118C">
        <w:rPr>
          <w:lang w:eastAsia="fr-FR"/>
        </w:rPr>
        <w:t>Objet du marché :</w:t>
      </w:r>
      <w:r w:rsidRPr="00C7118C">
        <w:rPr>
          <w:lang w:eastAsia="fr-FR"/>
        </w:rPr>
        <w:tab/>
      </w:r>
    </w:p>
    <w:p w:rsidR="00C7118C" w:rsidRPr="00C7118C" w:rsidRDefault="00C7118C" w:rsidP="00C7118C">
      <w:pPr>
        <w:rPr>
          <w:lang w:eastAsia="fr-FR"/>
        </w:rPr>
      </w:pPr>
      <w:r w:rsidRPr="00C7118C">
        <w:rPr>
          <w:lang w:eastAsia="fr-FR"/>
        </w:rPr>
        <w:t>Lot :</w:t>
      </w:r>
      <w:r w:rsidRPr="00C7118C">
        <w:rPr>
          <w:lang w:eastAsia="fr-FR"/>
        </w:rPr>
        <w:tab/>
      </w:r>
      <w:r w:rsidRPr="00C7118C">
        <w:rPr>
          <w:lang w:eastAsia="fr-FR"/>
        </w:rPr>
        <w:tab/>
        <w:t>Titulaire :</w:t>
      </w:r>
      <w:r w:rsidRPr="00C7118C">
        <w:rPr>
          <w:lang w:eastAsia="fr-FR"/>
        </w:rPr>
        <w:tab/>
      </w:r>
    </w:p>
    <w:p w:rsidR="00C7118C" w:rsidRPr="00C7118C" w:rsidRDefault="00C7118C" w:rsidP="00C7118C">
      <w:pPr>
        <w:rPr>
          <w:b/>
          <w:lang w:eastAsia="fr-FR"/>
        </w:rPr>
      </w:pPr>
      <w:r w:rsidRPr="00C7118C">
        <w:rPr>
          <w:lang w:eastAsia="fr-FR"/>
        </w:rPr>
        <w:t>Mandataire du groupement :</w:t>
      </w:r>
      <w:r w:rsidRPr="00C7118C">
        <w:rPr>
          <w:lang w:eastAsia="fr-FR"/>
        </w:rPr>
        <w:tab/>
      </w:r>
    </w:p>
    <w:p w:rsidR="005B569A" w:rsidRDefault="005B569A" w:rsidP="002565F1">
      <w:pPr>
        <w:pStyle w:val="ANXNIV1"/>
      </w:pPr>
      <w:r w:rsidRPr="00C7118C">
        <w:t>SOUS-TRAITANT :</w:t>
      </w:r>
    </w:p>
    <w:p w:rsidR="00C7118C" w:rsidRPr="00C7118C" w:rsidRDefault="00C7118C" w:rsidP="00C7118C">
      <w:pPr>
        <w:rPr>
          <w:lang w:eastAsia="fr-FR"/>
        </w:rPr>
      </w:pPr>
      <w:r w:rsidRPr="00C7118C">
        <w:rPr>
          <w:lang w:eastAsia="fr-FR"/>
        </w:rPr>
        <w:t>Nom, raison ou dénomination sociale :</w:t>
      </w:r>
      <w:r w:rsidRPr="00C7118C">
        <w:rPr>
          <w:lang w:eastAsia="fr-FR"/>
        </w:rPr>
        <w:tab/>
      </w:r>
    </w:p>
    <w:p w:rsidR="00C7118C" w:rsidRPr="00C7118C" w:rsidRDefault="00C7118C" w:rsidP="00C7118C">
      <w:pPr>
        <w:rPr>
          <w:lang w:eastAsia="fr-FR"/>
        </w:rPr>
      </w:pPr>
      <w:r w:rsidRPr="00C7118C">
        <w:rPr>
          <w:lang w:eastAsia="fr-FR"/>
        </w:rPr>
        <w:t>Forme juridique (entreprise individuelle, société, etc…) :</w:t>
      </w:r>
      <w:r w:rsidRPr="00C7118C">
        <w:rPr>
          <w:lang w:eastAsia="fr-FR"/>
        </w:rPr>
        <w:tab/>
      </w:r>
    </w:p>
    <w:p w:rsidR="00C7118C" w:rsidRPr="00C7118C" w:rsidRDefault="00C7118C" w:rsidP="00C7118C">
      <w:pPr>
        <w:rPr>
          <w:lang w:eastAsia="fr-FR"/>
        </w:rPr>
      </w:pPr>
      <w:r w:rsidRPr="00C7118C">
        <w:rPr>
          <w:lang w:eastAsia="fr-FR"/>
        </w:rPr>
        <w:t>Numéro d'identité d'établissement (RIDET) :</w:t>
      </w:r>
      <w:r w:rsidRPr="00C7118C">
        <w:rPr>
          <w:lang w:eastAsia="fr-FR"/>
        </w:rPr>
        <w:tab/>
      </w:r>
    </w:p>
    <w:p w:rsidR="00C7118C" w:rsidRPr="00C7118C" w:rsidRDefault="00C7118C" w:rsidP="00C7118C">
      <w:pPr>
        <w:rPr>
          <w:lang w:eastAsia="fr-FR"/>
        </w:rPr>
      </w:pPr>
      <w:r w:rsidRPr="00C7118C">
        <w:rPr>
          <w:lang w:eastAsia="fr-FR"/>
        </w:rPr>
        <w:t>Numéro d'inscription au registre du commerce ou au répertoire des  métiers :</w:t>
      </w:r>
      <w:r w:rsidRPr="00C7118C">
        <w:rPr>
          <w:lang w:eastAsia="fr-FR"/>
        </w:rPr>
        <w:tab/>
      </w:r>
    </w:p>
    <w:p w:rsidR="00C7118C" w:rsidRPr="00C7118C" w:rsidRDefault="00C7118C" w:rsidP="00C7118C">
      <w:pPr>
        <w:rPr>
          <w:lang w:eastAsia="fr-FR"/>
        </w:rPr>
      </w:pPr>
      <w:r w:rsidRPr="00C7118C">
        <w:rPr>
          <w:lang w:eastAsia="fr-FR"/>
        </w:rPr>
        <w:t>Nom et prénom du représentant habilité :</w:t>
      </w:r>
      <w:r w:rsidRPr="00C7118C">
        <w:rPr>
          <w:lang w:eastAsia="fr-FR"/>
        </w:rPr>
        <w:tab/>
      </w:r>
    </w:p>
    <w:p w:rsidR="00C7118C" w:rsidRPr="00C7118C" w:rsidRDefault="00C7118C" w:rsidP="00C7118C">
      <w:pPr>
        <w:rPr>
          <w:lang w:eastAsia="fr-FR"/>
        </w:rPr>
      </w:pPr>
      <w:r w:rsidRPr="00C7118C">
        <w:rPr>
          <w:lang w:eastAsia="fr-FR"/>
        </w:rPr>
        <w:t>Adresse :</w:t>
      </w:r>
      <w:r w:rsidRPr="00C7118C">
        <w:rPr>
          <w:lang w:eastAsia="fr-FR"/>
        </w:rPr>
        <w:tab/>
      </w:r>
    </w:p>
    <w:p w:rsidR="00C7118C" w:rsidRPr="00C7118C" w:rsidRDefault="00C7118C" w:rsidP="00C7118C">
      <w:pPr>
        <w:rPr>
          <w:lang w:eastAsia="fr-FR"/>
        </w:rPr>
      </w:pPr>
      <w:r w:rsidRPr="00C7118C">
        <w:rPr>
          <w:lang w:eastAsia="fr-FR"/>
        </w:rPr>
        <w:t>Contacts (email, GSM) :</w:t>
      </w:r>
      <w:r w:rsidRPr="00C7118C">
        <w:rPr>
          <w:lang w:eastAsia="fr-FR"/>
        </w:rPr>
        <w:tab/>
      </w:r>
    </w:p>
    <w:p w:rsidR="005B569A" w:rsidRPr="005B569A" w:rsidRDefault="005B569A" w:rsidP="00E76F6F">
      <w:pPr>
        <w:rPr>
          <w:lang w:eastAsia="fr-FR"/>
        </w:rPr>
      </w:pPr>
      <w:r w:rsidRPr="005B569A">
        <w:rPr>
          <w:lang w:eastAsia="fr-FR"/>
        </w:rPr>
        <w:t>Le sous-traitant est-il en état de : (entourer toutes les mentions adéquates, rayer toutes les mentions inutiles)</w:t>
      </w:r>
    </w:p>
    <w:p w:rsidR="005B569A" w:rsidRPr="005B569A" w:rsidRDefault="005B569A" w:rsidP="00E76F6F">
      <w:pPr>
        <w:rPr>
          <w:lang w:eastAsia="fr-FR"/>
        </w:rPr>
      </w:pPr>
      <w:r w:rsidRPr="005B569A">
        <w:rPr>
          <w:lang w:eastAsia="fr-FR"/>
        </w:rPr>
        <w:sym w:font="Wingdings" w:char="F0A7"/>
      </w:r>
      <w:r w:rsidRPr="005B569A">
        <w:rPr>
          <w:lang w:eastAsia="fr-FR"/>
        </w:rPr>
        <w:t xml:space="preserve"> Liquidation :</w:t>
      </w:r>
      <w:r w:rsidRPr="005B569A">
        <w:rPr>
          <w:b/>
          <w:lang w:eastAsia="fr-FR"/>
        </w:rPr>
        <w:t xml:space="preserve"> </w:t>
      </w:r>
      <w:r w:rsidRPr="005B569A">
        <w:rPr>
          <w:lang w:eastAsia="fr-FR"/>
        </w:rPr>
        <w:t>OUI – NON</w:t>
      </w:r>
      <w:r w:rsidRPr="005B569A">
        <w:rPr>
          <w:lang w:eastAsia="fr-FR"/>
        </w:rPr>
        <w:tab/>
      </w:r>
      <w:r w:rsidR="00C7118C">
        <w:rPr>
          <w:lang w:eastAsia="fr-FR"/>
        </w:rPr>
        <w:tab/>
      </w:r>
      <w:r w:rsidRPr="005B569A">
        <w:rPr>
          <w:lang w:eastAsia="fr-FR"/>
        </w:rPr>
        <w:sym w:font="Wingdings" w:char="F0A7"/>
      </w:r>
      <w:r w:rsidRPr="005B569A">
        <w:rPr>
          <w:lang w:eastAsia="fr-FR"/>
        </w:rPr>
        <w:t xml:space="preserve"> Redressement judiciaire :</w:t>
      </w:r>
      <w:r w:rsidRPr="005B569A">
        <w:rPr>
          <w:b/>
          <w:lang w:eastAsia="fr-FR"/>
        </w:rPr>
        <w:t xml:space="preserve"> </w:t>
      </w:r>
      <w:r w:rsidRPr="005B569A">
        <w:rPr>
          <w:lang w:eastAsia="fr-FR"/>
        </w:rPr>
        <w:t>OUI – NON</w:t>
      </w:r>
    </w:p>
    <w:p w:rsidR="005B569A" w:rsidRPr="005B569A" w:rsidRDefault="005B569A" w:rsidP="00E76F6F">
      <w:pPr>
        <w:rPr>
          <w:lang w:eastAsia="fr-FR"/>
        </w:rPr>
      </w:pPr>
      <w:r w:rsidRPr="005B569A">
        <w:rPr>
          <w:lang w:eastAsia="fr-FR"/>
        </w:rPr>
        <w:sym w:font="Wingdings" w:char="F0A7"/>
      </w:r>
      <w:r w:rsidRPr="005B569A">
        <w:rPr>
          <w:lang w:eastAsia="fr-FR"/>
        </w:rPr>
        <w:t xml:space="preserve"> Faillite personnelle : OUI – NON</w:t>
      </w:r>
      <w:r w:rsidRPr="005B569A">
        <w:rPr>
          <w:lang w:eastAsia="fr-FR"/>
        </w:rPr>
        <w:tab/>
      </w:r>
      <w:r w:rsidRPr="005B569A">
        <w:rPr>
          <w:lang w:eastAsia="fr-FR"/>
        </w:rPr>
        <w:sym w:font="Wingdings" w:char="F0A7"/>
      </w:r>
      <w:r w:rsidRPr="005B569A">
        <w:rPr>
          <w:lang w:eastAsia="fr-FR"/>
        </w:rPr>
        <w:t xml:space="preserve"> </w:t>
      </w:r>
      <w:r w:rsidR="00C7118C">
        <w:rPr>
          <w:lang w:eastAsia="fr-FR"/>
        </w:rPr>
        <w:t>P</w:t>
      </w:r>
      <w:r w:rsidRPr="005B569A">
        <w:rPr>
          <w:lang w:eastAsia="fr-FR"/>
        </w:rPr>
        <w:t>rocédures équivalentes s’il est établi à l'étranger : OUI - NON</w:t>
      </w:r>
    </w:p>
    <w:p w:rsidR="005B569A" w:rsidRPr="005B569A" w:rsidRDefault="005B569A" w:rsidP="00E76F6F">
      <w:pPr>
        <w:rPr>
          <w:color w:val="000000"/>
          <w:lang w:eastAsia="fr-FR"/>
        </w:rPr>
      </w:pPr>
      <w:r w:rsidRPr="005B569A">
        <w:rPr>
          <w:lang w:eastAsia="fr-FR"/>
        </w:rPr>
        <w:t xml:space="preserve">Dans le cas d’un redressement judiciaire, joindre copie du ou des jugements (ou autres justificatifs) montrant qu’il est autorisé à poursuivre ses activités </w:t>
      </w:r>
      <w:r w:rsidRPr="005B569A">
        <w:rPr>
          <w:color w:val="000000"/>
          <w:lang w:eastAsia="fr-FR"/>
        </w:rPr>
        <w:t>pendant la durée prévisible d’exécution du marché.</w:t>
      </w:r>
    </w:p>
    <w:p w:rsidR="005B569A" w:rsidRPr="005B569A" w:rsidRDefault="005B569A" w:rsidP="002565F1">
      <w:pPr>
        <w:pStyle w:val="ANXNIV1"/>
      </w:pPr>
      <w:r w:rsidRPr="005B569A">
        <w:t>NATURE ET PRIX DES PRESTATIONS SOUS-TRAITEES :</w:t>
      </w:r>
    </w:p>
    <w:p w:rsidR="00C7118C" w:rsidRDefault="00C7118C" w:rsidP="00C7118C">
      <w:pPr>
        <w:rPr>
          <w:lang w:eastAsia="fr-FR"/>
        </w:rPr>
      </w:pPr>
      <w:r>
        <w:rPr>
          <w:lang w:eastAsia="fr-FR"/>
        </w:rPr>
        <w:t>Nature précise :</w:t>
      </w:r>
      <w:r>
        <w:rPr>
          <w:lang w:eastAsia="fr-FR"/>
        </w:rPr>
        <w:tab/>
      </w:r>
    </w:p>
    <w:p w:rsidR="00C7118C" w:rsidRDefault="00C7118C" w:rsidP="00C7118C">
      <w:pPr>
        <w:rPr>
          <w:lang w:eastAsia="fr-FR"/>
        </w:rPr>
      </w:pPr>
    </w:p>
    <w:p w:rsidR="00455508" w:rsidRDefault="00455508" w:rsidP="00C7118C">
      <w:pPr>
        <w:rPr>
          <w:lang w:eastAsia="fr-FR"/>
        </w:rPr>
      </w:pPr>
      <w:r>
        <w:rPr>
          <w:lang w:eastAsia="fr-FR"/>
        </w:rPr>
        <w:t>Montant sous-traité HT : Précisé sur chaque bon de commande</w:t>
      </w:r>
    </w:p>
    <w:p w:rsidR="00455508" w:rsidRDefault="00C7118C" w:rsidP="00455508">
      <w:pPr>
        <w:rPr>
          <w:lang w:eastAsia="fr-FR"/>
        </w:rPr>
      </w:pPr>
      <w:r>
        <w:rPr>
          <w:lang w:eastAsia="fr-FR"/>
        </w:rPr>
        <w:t>Taux des taxes (cf. contrat de sous-traitance) :</w:t>
      </w:r>
      <w:r w:rsidR="00455508">
        <w:rPr>
          <w:lang w:eastAsia="fr-FR"/>
        </w:rPr>
        <w:t xml:space="preserve"> Précisé sur chaque bon de commande</w:t>
      </w:r>
    </w:p>
    <w:p w:rsidR="00455508" w:rsidRDefault="00C7118C" w:rsidP="00455508">
      <w:pPr>
        <w:rPr>
          <w:lang w:eastAsia="fr-FR"/>
        </w:rPr>
      </w:pPr>
      <w:r>
        <w:rPr>
          <w:lang w:eastAsia="fr-FR"/>
        </w:rPr>
        <w:t>Montant sous-traité TTC :</w:t>
      </w:r>
      <w:r w:rsidR="00455508">
        <w:rPr>
          <w:lang w:eastAsia="fr-FR"/>
        </w:rPr>
        <w:t xml:space="preserve"> Précisé sur chaque bon de commande</w:t>
      </w:r>
    </w:p>
    <w:p w:rsidR="005B569A" w:rsidRPr="005B569A" w:rsidRDefault="005B569A" w:rsidP="002565F1">
      <w:pPr>
        <w:pStyle w:val="ANXNIV1"/>
      </w:pPr>
      <w:r w:rsidRPr="005B569A">
        <w:t>CONDITIONS DE PAIEMENT DU CONTRAT DE SOUS-TRAITANCE :</w:t>
      </w:r>
    </w:p>
    <w:p w:rsidR="00B05E7A" w:rsidRDefault="00B05E7A" w:rsidP="00C7118C">
      <w:r>
        <w:t>Paiement direct du sous-traitant par l’acheteur public (choisir l’option 1 ou 2 – à défaut c’est l’option 1 qui s’applique) :</w:t>
      </w:r>
    </w:p>
    <w:p w:rsidR="00B05E7A" w:rsidRDefault="00555941" w:rsidP="00C7118C">
      <w:pPr>
        <w:pStyle w:val="ListeX"/>
      </w:pPr>
      <w:sdt>
        <w:sdtPr>
          <w:id w:val="503247215"/>
          <w14:checkbox>
            <w14:checked w14:val="0"/>
            <w14:checkedState w14:val="2612" w14:font="MS Gothic"/>
            <w14:uncheckedState w14:val="2610" w14:font="MS Gothic"/>
          </w14:checkbox>
        </w:sdtPr>
        <w:sdtEndPr/>
        <w:sdtContent>
          <w:r w:rsidR="00B05E7A">
            <w:rPr>
              <w:rFonts w:ascii="MS Gothic" w:eastAsia="MS Gothic" w:hAnsi="MS Gothic" w:hint="eastAsia"/>
            </w:rPr>
            <w:t>☐</w:t>
          </w:r>
        </w:sdtContent>
      </w:sdt>
      <w:r w:rsidR="00B05E7A">
        <w:t xml:space="preserve"> 1 - Quel que soit le montant sous-traité.</w:t>
      </w:r>
    </w:p>
    <w:p w:rsidR="00B05E7A" w:rsidRDefault="00555941" w:rsidP="00C7118C">
      <w:pPr>
        <w:pStyle w:val="ListeX"/>
      </w:pPr>
      <w:sdt>
        <w:sdtPr>
          <w:id w:val="-1414695376"/>
          <w14:checkbox>
            <w14:checked w14:val="0"/>
            <w14:checkedState w14:val="2612" w14:font="MS Gothic"/>
            <w14:uncheckedState w14:val="2610" w14:font="MS Gothic"/>
          </w14:checkbox>
        </w:sdtPr>
        <w:sdtEndPr/>
        <w:sdtContent>
          <w:r w:rsidR="00B05E7A">
            <w:rPr>
              <w:rFonts w:ascii="MS Gothic" w:eastAsia="MS Gothic" w:hAnsi="MS Gothic" w:hint="eastAsia"/>
            </w:rPr>
            <w:t>☐</w:t>
          </w:r>
        </w:sdtContent>
      </w:sdt>
      <w:r w:rsidR="00B05E7A">
        <w:t xml:space="preserve"> 2 - Uniquement lorsque le montant sous-traité est supérieur à 500.000 F HT.</w:t>
      </w:r>
    </w:p>
    <w:p w:rsidR="00C7118C" w:rsidRDefault="00C7118C" w:rsidP="002565F1">
      <w:pPr>
        <w:pStyle w:val="ANXNIV1"/>
      </w:pPr>
      <w:r>
        <w:t>COMPTE A CREDITER :</w:t>
      </w:r>
    </w:p>
    <w:p w:rsidR="00C7118C" w:rsidRDefault="00C7118C" w:rsidP="00C7118C">
      <w:pPr>
        <w:pStyle w:val="NormalX"/>
      </w:pPr>
      <w:r>
        <w:t>NOM :</w:t>
      </w:r>
      <w:r>
        <w:tab/>
      </w:r>
    </w:p>
    <w:p w:rsidR="00C7118C" w:rsidRDefault="00C7118C" w:rsidP="00C7118C">
      <w:pPr>
        <w:pStyle w:val="NormalX"/>
      </w:pPr>
      <w:r>
        <w:t>BANQUE :</w:t>
      </w:r>
      <w:r>
        <w:tab/>
      </w:r>
    </w:p>
    <w:p w:rsidR="00C7118C" w:rsidRDefault="00C7118C" w:rsidP="00C7118C">
      <w:pPr>
        <w:pStyle w:val="NormalX"/>
      </w:pPr>
      <w:r>
        <w:t>N° DE COMPTE (23 chiffres) :</w:t>
      </w:r>
    </w:p>
    <w:p w:rsidR="00C7118C" w:rsidRDefault="00C7118C" w:rsidP="00C7118C">
      <w:pPr>
        <w:pStyle w:val="NormalX"/>
      </w:pPr>
      <w:r>
        <w:t>|__|__|__|__|__| |__|__|__|__|__| |__|__|__|__|__|__|__|__|__|__|__| |__|__|</w:t>
      </w:r>
    </w:p>
    <w:p w:rsidR="00C7118C" w:rsidRDefault="00C7118C" w:rsidP="002565F1">
      <w:pPr>
        <w:pStyle w:val="ANXNIV1"/>
      </w:pPr>
      <w:r>
        <w:t>VARIATION DES PRIX :</w:t>
      </w:r>
      <w:r>
        <w:tab/>
      </w:r>
    </w:p>
    <w:p w:rsidR="00C7118C" w:rsidRDefault="00C7118C" w:rsidP="00C7118C">
      <w:pPr>
        <w:rPr>
          <w:lang w:eastAsia="fr-FR"/>
        </w:rPr>
      </w:pPr>
      <w:r>
        <w:rPr>
          <w:lang w:eastAsia="fr-FR"/>
        </w:rPr>
        <w:t>Modalités de variation des prix :</w:t>
      </w:r>
      <w:r>
        <w:rPr>
          <w:lang w:eastAsia="fr-FR"/>
        </w:rPr>
        <w:tab/>
      </w:r>
    </w:p>
    <w:p w:rsidR="00C7118C" w:rsidRDefault="00C7118C" w:rsidP="00C7118C">
      <w:pPr>
        <w:rPr>
          <w:lang w:eastAsia="fr-FR"/>
        </w:rPr>
      </w:pPr>
      <w:r>
        <w:rPr>
          <w:lang w:eastAsia="fr-FR"/>
        </w:rPr>
        <w:t>Mois d'établissement des prix :</w:t>
      </w:r>
      <w:r>
        <w:rPr>
          <w:lang w:eastAsia="fr-FR"/>
        </w:rPr>
        <w:tab/>
      </w:r>
    </w:p>
    <w:p w:rsidR="00C7118C" w:rsidRDefault="00C7118C" w:rsidP="002565F1">
      <w:pPr>
        <w:pStyle w:val="ANXNIV1"/>
      </w:pPr>
      <w:r>
        <w:t>AVANCE PREVUE AU MARCHE :</w:t>
      </w:r>
    </w:p>
    <w:p w:rsidR="00C7118C" w:rsidRDefault="00C7118C" w:rsidP="00C7118C">
      <w:pPr>
        <w:rPr>
          <w:lang w:eastAsia="fr-FR"/>
        </w:rPr>
      </w:pPr>
      <w:r>
        <w:rPr>
          <w:rFonts w:ascii="Segoe UI Symbol" w:hAnsi="Segoe UI Symbol" w:cs="Segoe UI Symbol"/>
          <w:lang w:eastAsia="fr-FR"/>
        </w:rPr>
        <w:t>☐</w:t>
      </w:r>
      <w:r>
        <w:rPr>
          <w:lang w:eastAsia="fr-FR"/>
        </w:rPr>
        <w:t xml:space="preserve"> Demandée</w:t>
      </w:r>
      <w:r>
        <w:rPr>
          <w:lang w:eastAsia="fr-FR"/>
        </w:rPr>
        <w:tab/>
      </w:r>
      <w:r>
        <w:rPr>
          <w:rFonts w:ascii="Segoe UI Symbol" w:hAnsi="Segoe UI Symbol" w:cs="Segoe UI Symbol"/>
          <w:lang w:eastAsia="fr-FR"/>
        </w:rPr>
        <w:t>☐</w:t>
      </w:r>
      <w:r>
        <w:rPr>
          <w:lang w:eastAsia="fr-FR"/>
        </w:rPr>
        <w:t xml:space="preserve"> Refusée</w:t>
      </w:r>
    </w:p>
    <w:p w:rsidR="00C7118C" w:rsidRDefault="00C7118C" w:rsidP="00C7118C">
      <w:pPr>
        <w:rPr>
          <w:lang w:eastAsia="fr-FR"/>
        </w:rPr>
      </w:pPr>
      <w:r>
        <w:rPr>
          <w:lang w:eastAsia="fr-FR"/>
        </w:rPr>
        <w:t>Une seule des deux cases doit être cochée.</w:t>
      </w:r>
    </w:p>
    <w:p w:rsidR="005B569A" w:rsidRPr="005B569A" w:rsidRDefault="00C7118C" w:rsidP="00C7118C">
      <w:pPr>
        <w:rPr>
          <w:lang w:eastAsia="fr-FR"/>
        </w:rPr>
      </w:pPr>
      <w:r>
        <w:rPr>
          <w:lang w:eastAsia="fr-FR"/>
        </w:rPr>
        <w:t>L’avance est réputée être demandée si aucune case n’est cochée.</w:t>
      </w:r>
    </w:p>
    <w:p w:rsidR="005B569A" w:rsidRPr="005B569A" w:rsidRDefault="00C7118C" w:rsidP="002565F1">
      <w:pPr>
        <w:pStyle w:val="ANXNIV1"/>
      </w:pPr>
      <w:r>
        <w:t>DECLARATION</w:t>
      </w:r>
    </w:p>
    <w:p w:rsidR="005B569A" w:rsidRPr="005B569A" w:rsidRDefault="005B569A" w:rsidP="00E76F6F">
      <w:pPr>
        <w:rPr>
          <w:lang w:eastAsia="fr-FR"/>
        </w:rPr>
      </w:pPr>
      <w:r w:rsidRPr="005B569A">
        <w:rPr>
          <w:lang w:eastAsia="fr-FR"/>
        </w:rPr>
        <w:t xml:space="preserve">Sous peine de retrait de plein droit de la présente acceptation de sous-traitance, l'entreprise sous-traitante atteste ne pas tomber sous le coup </w:t>
      </w:r>
      <w:r w:rsidR="00B05E7A">
        <w:t>des exclusions et interdictions découlant de l'article 14-3 de la délibération n° 424 du 20 mars 2019 modifiée</w:t>
      </w:r>
      <w:r w:rsidRPr="005B569A">
        <w:rPr>
          <w:lang w:eastAsia="fr-FR"/>
        </w:rPr>
        <w:t>.</w:t>
      </w:r>
    </w:p>
    <w:p w:rsidR="005B569A" w:rsidRDefault="005B569A" w:rsidP="00E76F6F">
      <w:pPr>
        <w:rPr>
          <w:lang w:eastAsia="fr-FR"/>
        </w:rPr>
      </w:pPr>
      <w:r w:rsidRPr="005B569A">
        <w:rPr>
          <w:lang w:eastAsia="fr-FR"/>
        </w:rPr>
        <w:t>Fait en un seul original, à ………………………</w:t>
      </w:r>
      <w:proofErr w:type="gramStart"/>
      <w:r w:rsidRPr="005B569A">
        <w:rPr>
          <w:lang w:eastAsia="fr-FR"/>
        </w:rPr>
        <w:t>… ,</w:t>
      </w:r>
      <w:proofErr w:type="gramEnd"/>
      <w:r w:rsidRPr="005B569A">
        <w:rPr>
          <w:lang w:eastAsia="fr-FR"/>
        </w:rPr>
        <w:t xml:space="preserve"> le ………………………….</w:t>
      </w:r>
    </w:p>
    <w:p w:rsidR="00C7118C" w:rsidRDefault="00C7118C" w:rsidP="00C7118C">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(1)</w:t>
      </w:r>
    </w:p>
    <w:p w:rsidR="00C7118C" w:rsidRDefault="00C7118C" w:rsidP="00C7118C">
      <w:pPr>
        <w:rPr>
          <w:lang w:eastAsia="fr-FR"/>
        </w:rPr>
      </w:pPr>
    </w:p>
    <w:p w:rsidR="00C7118C" w:rsidRDefault="00C7118C" w:rsidP="00C7118C">
      <w:pPr>
        <w:rPr>
          <w:lang w:eastAsia="fr-FR"/>
        </w:rPr>
      </w:pPr>
      <w:r>
        <w:rPr>
          <w:lang w:eastAsia="fr-FR"/>
        </w:rPr>
        <w:t>(**) En cas de marché passé avec un groupement d’entreprises avec mandataire solidaire. Cf. article 2.42 du CCAG travaux (</w:t>
      </w:r>
      <w:proofErr w:type="spellStart"/>
      <w:r>
        <w:rPr>
          <w:lang w:eastAsia="fr-FR"/>
        </w:rPr>
        <w:t>délib</w:t>
      </w:r>
      <w:proofErr w:type="spellEnd"/>
      <w:r>
        <w:rPr>
          <w:lang w:eastAsia="fr-FR"/>
        </w:rPr>
        <w:t>.. 64/CP 10/05/89)</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5B569A" w:rsidRPr="005B569A" w:rsidRDefault="005B569A" w:rsidP="002565F1">
      <w:pPr>
        <w:pStyle w:val="ANXNIV1"/>
      </w:pPr>
      <w:r w:rsidRPr="005B569A">
        <w:t>LISTE DES JUSTIFICATIFS FOURNIS :</w:t>
      </w:r>
    </w:p>
    <w:p w:rsidR="005B569A" w:rsidRPr="005B569A" w:rsidRDefault="00555941" w:rsidP="00E76F6F">
      <w:pPr>
        <w:rPr>
          <w:lang w:eastAsia="fr-FR"/>
        </w:rPr>
      </w:pPr>
      <w:sdt>
        <w:sdtPr>
          <w:rPr>
            <w:lang w:eastAsia="fr-FR"/>
          </w:rPr>
          <w:id w:val="1710531402"/>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1 –</w:t>
      </w:r>
      <w:r w:rsidR="005B569A" w:rsidRPr="005B569A">
        <w:rPr>
          <w:lang w:eastAsia="fr-FR"/>
        </w:rPr>
        <w:t xml:space="preserve"> Extrait K-bis datant de moins de 3 mois – pour le sous-traitant</w:t>
      </w:r>
    </w:p>
    <w:p w:rsidR="005B569A" w:rsidRPr="005B569A" w:rsidRDefault="00555941" w:rsidP="00E76F6F">
      <w:pPr>
        <w:rPr>
          <w:lang w:eastAsia="fr-FR"/>
        </w:rPr>
      </w:pPr>
      <w:sdt>
        <w:sdtPr>
          <w:rPr>
            <w:lang w:eastAsia="fr-FR"/>
          </w:rPr>
          <w:id w:val="-1933886575"/>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2 –</w:t>
      </w:r>
      <w:r w:rsidR="005B569A" w:rsidRPr="005B569A">
        <w:rPr>
          <w:lang w:eastAsia="fr-FR"/>
        </w:rPr>
        <w:t xml:space="preserve"> Références concernant les prestations sous-traitées – pour le sous-traitant</w:t>
      </w:r>
    </w:p>
    <w:p w:rsidR="005B569A" w:rsidRPr="005B569A" w:rsidRDefault="00555941" w:rsidP="00E76F6F">
      <w:pPr>
        <w:rPr>
          <w:lang w:eastAsia="fr-FR"/>
        </w:rPr>
      </w:pPr>
      <w:sdt>
        <w:sdtPr>
          <w:rPr>
            <w:lang w:eastAsia="fr-FR"/>
          </w:rPr>
          <w:id w:val="-1969507135"/>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3 –</w:t>
      </w:r>
      <w:r w:rsidR="005B569A" w:rsidRPr="005B569A">
        <w:rPr>
          <w:lang w:eastAsia="fr-FR"/>
        </w:rPr>
        <w:t xml:space="preserve"> Trois certificats de situation fiscale (payeur, impôts, douanes) – pour le sous-traitant</w:t>
      </w:r>
    </w:p>
    <w:p w:rsidR="005B569A" w:rsidRPr="005B569A" w:rsidRDefault="00555941" w:rsidP="00E76F6F">
      <w:pPr>
        <w:rPr>
          <w:lang w:eastAsia="fr-FR"/>
        </w:rPr>
      </w:pPr>
      <w:sdt>
        <w:sdtPr>
          <w:rPr>
            <w:lang w:eastAsia="fr-FR"/>
          </w:rPr>
          <w:id w:val="-1162994904"/>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4 –</w:t>
      </w:r>
      <w:r w:rsidR="005B569A" w:rsidRPr="005B569A">
        <w:rPr>
          <w:lang w:eastAsia="fr-FR"/>
        </w:rPr>
        <w:t xml:space="preserve"> Attestation CAFAT / RUAMM (la dernière exigible) – pour le sous-traitant</w:t>
      </w:r>
    </w:p>
    <w:p w:rsidR="005B569A" w:rsidRPr="005B569A" w:rsidRDefault="00555941" w:rsidP="00E76F6F">
      <w:pPr>
        <w:rPr>
          <w:lang w:eastAsia="fr-FR"/>
        </w:rPr>
      </w:pPr>
      <w:sdt>
        <w:sdtPr>
          <w:rPr>
            <w:lang w:eastAsia="fr-FR"/>
          </w:rPr>
          <w:id w:val="389316500"/>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5 –</w:t>
      </w:r>
      <w:r w:rsidR="005B569A" w:rsidRPr="005B569A">
        <w:rPr>
          <w:lang w:eastAsia="fr-FR"/>
        </w:rPr>
        <w:t xml:space="preserve"> Attestation d'assurance en cours de validité – pour le sous-traitant</w:t>
      </w:r>
    </w:p>
    <w:p w:rsidR="005B569A" w:rsidRPr="005B569A" w:rsidRDefault="00555941" w:rsidP="00E76F6F">
      <w:pPr>
        <w:rPr>
          <w:lang w:eastAsia="fr-FR"/>
        </w:rPr>
      </w:pPr>
      <w:sdt>
        <w:sdtPr>
          <w:rPr>
            <w:lang w:eastAsia="fr-FR"/>
          </w:rPr>
          <w:id w:val="-1460787475"/>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6 –</w:t>
      </w:r>
      <w:r w:rsidR="005B569A" w:rsidRPr="005B569A">
        <w:rPr>
          <w:lang w:eastAsia="fr-FR"/>
        </w:rPr>
        <w:t xml:space="preserve"> Relevé d’identité bancaire – pour le sous-traitant</w:t>
      </w:r>
    </w:p>
    <w:p w:rsidR="005B569A" w:rsidRPr="005B569A" w:rsidRDefault="00555941" w:rsidP="00E76F6F">
      <w:pPr>
        <w:rPr>
          <w:lang w:eastAsia="fr-FR"/>
        </w:rPr>
      </w:pPr>
      <w:sdt>
        <w:sdtPr>
          <w:rPr>
            <w:lang w:eastAsia="fr-FR"/>
          </w:rPr>
          <w:id w:val="-1533187251"/>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7 –</w:t>
      </w:r>
      <w:r w:rsidR="005B569A" w:rsidRPr="005B569A">
        <w:rPr>
          <w:lang w:eastAsia="fr-FR"/>
        </w:rPr>
        <w:t xml:space="preserve"> Exemplaire unique du marché ou du dernier avenant, destiné à la cession ou au nantissement, délivré antérieurement</w:t>
      </w:r>
      <w:r w:rsidR="005B569A" w:rsidRPr="005B569A">
        <w:rPr>
          <w:b/>
          <w:lang w:eastAsia="fr-FR"/>
        </w:rPr>
        <w:t xml:space="preserve"> au titulaire</w:t>
      </w:r>
      <w:r w:rsidR="005B569A" w:rsidRPr="005B569A">
        <w:rPr>
          <w:lang w:eastAsia="fr-FR"/>
        </w:rPr>
        <w:t>, ou en cas d’impossibilité de le restituer, attestation du bénéficiaire de la cession ou du nantissement démontrant qu’il n’y a pas d’obstacle au paiement direct de la partie sous-traitée. Ou attestation signée du titulaire, de perte, ou encore de non demande et de non réception de l’exemplaire unique.</w:t>
      </w:r>
    </w:p>
    <w:p w:rsidR="005B569A" w:rsidRPr="005B569A" w:rsidRDefault="00555941" w:rsidP="00E76F6F">
      <w:pPr>
        <w:rPr>
          <w:lang w:eastAsia="fr-FR"/>
        </w:rPr>
      </w:pPr>
      <w:sdt>
        <w:sdtPr>
          <w:rPr>
            <w:lang w:eastAsia="fr-FR"/>
          </w:rPr>
          <w:id w:val="-1202316185"/>
          <w14:checkbox>
            <w14:checked w14:val="0"/>
            <w14:checkedState w14:val="2612" w14:font="MS Gothic"/>
            <w14:uncheckedState w14:val="2610" w14:font="MS Gothic"/>
          </w14:checkbox>
        </w:sdtPr>
        <w:sdtEndPr/>
        <w:sdtContent>
          <w:r w:rsidR="005B569A" w:rsidRPr="005B569A">
            <w:rPr>
              <w:rFonts w:eastAsia="MS Gothic" w:hint="eastAsia"/>
              <w:lang w:eastAsia="fr-FR"/>
            </w:rPr>
            <w:t>☐</w:t>
          </w:r>
        </w:sdtContent>
      </w:sdt>
      <w:r w:rsidR="005B569A" w:rsidRPr="005B569A">
        <w:rPr>
          <w:b/>
          <w:sz w:val="10"/>
          <w:lang w:eastAsia="fr-FR"/>
        </w:rPr>
        <w:t xml:space="preserve"> </w:t>
      </w:r>
      <w:r w:rsidR="005B569A" w:rsidRPr="005B569A">
        <w:rPr>
          <w:b/>
          <w:lang w:eastAsia="fr-FR"/>
        </w:rPr>
        <w:t>8 –</w:t>
      </w:r>
      <w:r w:rsidR="005B569A" w:rsidRPr="005B569A">
        <w:rPr>
          <w:lang w:eastAsia="fr-FR"/>
        </w:rPr>
        <w:t xml:space="preserve"> (En cas d’acte spécial modificatif) Exemplaire unique du marché, de l’acte spécial ou de l’avenant, destiné à la cession ou au nantissement, délivré antérieurement </w:t>
      </w:r>
      <w:r w:rsidR="005B569A" w:rsidRPr="005B569A">
        <w:rPr>
          <w:b/>
          <w:lang w:eastAsia="fr-FR"/>
        </w:rPr>
        <w:t>au sous-traitant</w:t>
      </w:r>
      <w:r w:rsidR="005B569A" w:rsidRPr="005B569A">
        <w:rPr>
          <w:lang w:eastAsia="fr-FR"/>
        </w:rPr>
        <w:t xml:space="preserve">, ou en cas d’impossibilité de le restituer, attestation du bénéficiaire de la cession ou du nantissement démontrant qu’il n’y a pas d’obstacle à la modification du montant sous-traité. Ou attestation signée du sous-traitant, de perte, ou encore de non demande et de non réception de l’exemplaire unique. En cas de </w:t>
      </w:r>
      <w:r w:rsidR="005B569A" w:rsidRPr="005B569A">
        <w:rPr>
          <w:b/>
          <w:lang w:eastAsia="fr-FR"/>
        </w:rPr>
        <w:t>sous-traitance de rang 2</w:t>
      </w:r>
      <w:r w:rsidR="005B569A" w:rsidRPr="005B569A">
        <w:rPr>
          <w:lang w:eastAsia="fr-FR"/>
        </w:rPr>
        <w:t>, mêmes documents à produire avec un acte spécial modificatif rang 2.</w:t>
      </w:r>
    </w:p>
    <w:p w:rsidR="00C7118C" w:rsidRDefault="00C7118C" w:rsidP="002565F1">
      <w:pPr>
        <w:pStyle w:val="ANXNIV1"/>
      </w:pPr>
      <w:r>
        <w:t xml:space="preserve">DECISION </w:t>
      </w:r>
      <w:r w:rsidR="00A87C22">
        <w:t>DE L’ACHETEUR PUBLIC</w:t>
      </w:r>
    </w:p>
    <w:p w:rsidR="005B569A" w:rsidRPr="005B569A" w:rsidRDefault="00A87C22" w:rsidP="00E76F6F">
      <w:pPr>
        <w:rPr>
          <w:szCs w:val="20"/>
          <w:lang w:eastAsia="fr-FR"/>
        </w:rPr>
      </w:pPr>
      <w:r>
        <w:rPr>
          <w:lang w:eastAsia="fr-FR"/>
        </w:rPr>
        <w:t>L’ACHETEUR PUBLIC</w:t>
      </w:r>
      <w:r w:rsidR="008F1DC9" w:rsidRPr="005B569A">
        <w:rPr>
          <w:lang w:eastAsia="fr-FR"/>
        </w:rPr>
        <w:t xml:space="preserve"> ACCEPTE LE SOUS-TRAITANT ET LES CONDITIONS DE PAIEMENT</w:t>
      </w:r>
    </w:p>
    <w:p w:rsidR="005B569A" w:rsidRPr="005B569A" w:rsidRDefault="005B569A" w:rsidP="00E76F6F">
      <w:pPr>
        <w:rPr>
          <w:lang w:eastAsia="fr-FR"/>
        </w:rPr>
      </w:pPr>
    </w:p>
    <w:p w:rsidR="005B569A" w:rsidRDefault="005B569A" w:rsidP="00E76F6F">
      <w:pPr>
        <w:rPr>
          <w:lang w:eastAsia="fr-FR"/>
        </w:rPr>
      </w:pPr>
    </w:p>
    <w:p w:rsidR="00C7118C" w:rsidRPr="005B569A" w:rsidRDefault="00C7118C" w:rsidP="00E76F6F">
      <w:pPr>
        <w:rPr>
          <w:lang w:eastAsia="fr-FR"/>
        </w:rPr>
      </w:pPr>
    </w:p>
    <w:p w:rsidR="005B569A" w:rsidRPr="005B569A" w:rsidRDefault="005B569A" w:rsidP="00E76F6F">
      <w:pPr>
        <w:rPr>
          <w:lang w:eastAsia="fr-FR"/>
        </w:rPr>
      </w:pPr>
      <w:r w:rsidRPr="005B569A">
        <w:rPr>
          <w:lang w:eastAsia="fr-FR"/>
        </w:rPr>
        <w:t xml:space="preserve">Le représentant </w:t>
      </w:r>
      <w:r w:rsidR="00A87C22">
        <w:rPr>
          <w:lang w:eastAsia="fr-FR"/>
        </w:rPr>
        <w:t>de l’acheteur public</w:t>
      </w:r>
      <w:r w:rsidRPr="005B569A">
        <w:rPr>
          <w:lang w:eastAsia="fr-FR"/>
        </w:rPr>
        <w:t>, compétent pour signer le marché public</w:t>
      </w:r>
      <w:r w:rsidRPr="005B569A">
        <w:rPr>
          <w:lang w:eastAsia="fr-FR"/>
        </w:rPr>
        <w:tab/>
      </w:r>
      <w:r w:rsidRPr="005B569A">
        <w:rPr>
          <w:lang w:eastAsia="fr-FR"/>
        </w:rPr>
        <w:tab/>
      </w:r>
    </w:p>
    <w:p w:rsidR="005B569A" w:rsidRPr="005B569A" w:rsidRDefault="005B569A" w:rsidP="002565F1">
      <w:pPr>
        <w:pStyle w:val="ANXNIV1"/>
      </w:pPr>
      <w:r w:rsidRPr="005B569A">
        <w:t>NOTIFICATION AU TITULAIRE</w:t>
      </w:r>
    </w:p>
    <w:p w:rsidR="00C7118C" w:rsidRDefault="00C7118C" w:rsidP="00E76F6F">
      <w:pPr>
        <w:rPr>
          <w:lang w:eastAsia="fr-FR"/>
        </w:rPr>
      </w:pPr>
      <w:r>
        <w:rPr>
          <w:lang w:eastAsia="fr-FR"/>
        </w:rPr>
        <w:t>Reçu :</w:t>
      </w:r>
    </w:p>
    <w:p w:rsidR="005B569A" w:rsidRPr="005B569A" w:rsidRDefault="005B569A" w:rsidP="00E76F6F">
      <w:pPr>
        <w:rPr>
          <w:lang w:eastAsia="fr-FR"/>
        </w:rPr>
      </w:pPr>
      <w:r w:rsidRPr="005B569A">
        <w:rPr>
          <w:lang w:eastAsia="fr-FR"/>
        </w:rPr>
        <w:t>- un exemplaire du présent acte spécial,</w:t>
      </w:r>
    </w:p>
    <w:p w:rsidR="005B569A" w:rsidRPr="005B569A" w:rsidRDefault="005B569A" w:rsidP="00E76F6F">
      <w:pPr>
        <w:rPr>
          <w:lang w:eastAsia="fr-FR"/>
        </w:rPr>
      </w:pPr>
      <w:r w:rsidRPr="005B569A">
        <w:rPr>
          <w:lang w:eastAsia="fr-FR"/>
        </w:rPr>
        <w:t xml:space="preserve">- le nouvel exemplaire unique du marché ou du dernier avenant revêtu de la mention prévue à l’article 97 de la délibération n° </w:t>
      </w:r>
      <w:r w:rsidR="00B05E7A">
        <w:rPr>
          <w:lang w:eastAsia="fr-FR"/>
        </w:rPr>
        <w:t>424</w:t>
      </w:r>
      <w:r w:rsidRPr="005B569A">
        <w:rPr>
          <w:lang w:eastAsia="fr-FR"/>
        </w:rPr>
        <w:t xml:space="preserve"> du </w:t>
      </w:r>
      <w:r w:rsidR="00B05E7A">
        <w:rPr>
          <w:lang w:eastAsia="fr-FR"/>
        </w:rPr>
        <w:t>20</w:t>
      </w:r>
      <w:r w:rsidRPr="005B569A">
        <w:rPr>
          <w:lang w:eastAsia="fr-FR"/>
        </w:rPr>
        <w:t xml:space="preserve"> mars </w:t>
      </w:r>
      <w:r w:rsidR="00B05E7A">
        <w:rPr>
          <w:lang w:eastAsia="fr-FR"/>
        </w:rPr>
        <w:t>2019</w:t>
      </w:r>
      <w:r w:rsidRPr="005B569A">
        <w:rPr>
          <w:lang w:eastAsia="fr-FR"/>
        </w:rPr>
        <w:t>.</w:t>
      </w:r>
    </w:p>
    <w:p w:rsidR="00C7118C" w:rsidRDefault="00C7118C" w:rsidP="00C7118C">
      <w:pPr>
        <w:rPr>
          <w:lang w:eastAsia="fr-FR"/>
        </w:rPr>
      </w:pPr>
      <w:r>
        <w:rPr>
          <w:lang w:eastAsia="fr-FR"/>
        </w:rPr>
        <w:t>Date : …………………….</w:t>
      </w:r>
    </w:p>
    <w:p w:rsidR="005B569A" w:rsidRPr="005B569A" w:rsidRDefault="005B569A" w:rsidP="00E76F6F">
      <w:pPr>
        <w:rPr>
          <w:lang w:eastAsia="fr-FR"/>
        </w:rPr>
      </w:pPr>
      <w:r w:rsidRPr="005B569A">
        <w:rPr>
          <w:lang w:eastAsia="fr-FR"/>
        </w:rPr>
        <w:t>- Signature suivie du nom du signataire habilité à représenter l’entreprise titulaire</w:t>
      </w:r>
    </w:p>
    <w:p w:rsidR="005B569A" w:rsidRPr="005B569A" w:rsidRDefault="005B569A" w:rsidP="00E76F6F">
      <w:pPr>
        <w:rPr>
          <w:lang w:eastAsia="fr-FR"/>
        </w:rPr>
      </w:pPr>
    </w:p>
    <w:p w:rsidR="005B569A" w:rsidRPr="005B569A" w:rsidRDefault="00C7118C" w:rsidP="00E76F6F">
      <w:pPr>
        <w:rPr>
          <w:lang w:eastAsia="fr-FR"/>
        </w:rPr>
      </w:pPr>
      <w:r w:rsidRPr="005B569A">
        <w:rPr>
          <w:noProof/>
          <w:lang w:eastAsia="fr-FR"/>
        </w:rPr>
        <mc:AlternateContent>
          <mc:Choice Requires="wps">
            <w:drawing>
              <wp:anchor distT="0" distB="0" distL="114300" distR="114300" simplePos="0" relativeHeight="251654144" behindDoc="0" locked="0" layoutInCell="1" allowOverlap="1" wp14:anchorId="37E55606" wp14:editId="7421EA89">
                <wp:simplePos x="0" y="0"/>
                <wp:positionH relativeFrom="column">
                  <wp:posOffset>541020</wp:posOffset>
                </wp:positionH>
                <wp:positionV relativeFrom="paragraph">
                  <wp:posOffset>345440</wp:posOffset>
                </wp:positionV>
                <wp:extent cx="5638800" cy="971550"/>
                <wp:effectExtent l="0" t="0" r="19050" b="19050"/>
                <wp:wrapTopAndBottom/>
                <wp:docPr id="1" name="Rectangle 1"/>
                <wp:cNvGraphicFramePr/>
                <a:graphic xmlns:a="http://schemas.openxmlformats.org/drawingml/2006/main">
                  <a:graphicData uri="http://schemas.microsoft.com/office/word/2010/wordprocessingShape">
                    <wps:wsp>
                      <wps:cNvSpPr/>
                      <wps:spPr>
                        <a:xfrm>
                          <a:off x="0" y="0"/>
                          <a:ext cx="5638800" cy="971550"/>
                        </a:xfrm>
                        <a:prstGeom prst="rect">
                          <a:avLst/>
                        </a:prstGeom>
                        <a:noFill/>
                        <a:ln w="3175" cap="flat" cmpd="sng" algn="ctr">
                          <a:solidFill>
                            <a:sysClr val="window" lastClr="FFFFFF">
                              <a:lumMod val="75000"/>
                            </a:sysClr>
                          </a:solidFill>
                          <a:prstDash val="dash"/>
                        </a:ln>
                        <a:effectLst/>
                      </wps:spPr>
                      <wps:txbx>
                        <w:txbxContent>
                          <w:p w:rsidR="000171CB" w:rsidRPr="00425E48" w:rsidRDefault="000171CB" w:rsidP="00E76F6F">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42.6pt;margin-top:27.2pt;width:444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" filled="f" strokecolor="#bfbfbf" strokeweight=".25pt">
                <v:stroke dashstyle="dash"/>
                <v:textbox inset="1mm,.5mm,1mm,1mm">
                  <w:txbxContent>
                    <w:p w:rsidR="000171CB" w:rsidRPr="00425E48" w:rsidRDefault="000171CB" w:rsidP="00E76F6F">
                      <w:r w:rsidRPr="00425E48">
                        <w:t>Espace réservé pour le rendu exécutoire</w:t>
                      </w:r>
                    </w:p>
                  </w:txbxContent>
                </v:textbox>
                <w10:wrap type="topAndBottom"/>
              </v:rect>
            </w:pict>
          </mc:Fallback>
        </mc:AlternateContent>
      </w:r>
    </w:p>
    <w:p w:rsidR="005B569A" w:rsidRPr="005B569A" w:rsidRDefault="005B569A" w:rsidP="00E76F6F">
      <w:pPr>
        <w:rPr>
          <w:lang w:eastAsia="fr-FR"/>
        </w:rPr>
      </w:pPr>
    </w:p>
    <w:p w:rsidR="005B569A" w:rsidRPr="005B569A" w:rsidRDefault="005B569A" w:rsidP="00E76F6F">
      <w:pPr>
        <w:rPr>
          <w:lang w:eastAsia="fr-FR"/>
        </w:rPr>
      </w:pPr>
      <w:r w:rsidRPr="005B569A">
        <w:rPr>
          <w:lang w:eastAsia="fr-FR"/>
        </w:rPr>
        <w:t xml:space="preserve">Nota : copie de cet acte spécial en exemplaire unique destiné à la cession ou au nantissement, revêtu de la mention prévue à l’article 97 de la délibération </w:t>
      </w:r>
      <w:r w:rsidR="00B05E7A">
        <w:rPr>
          <w:lang w:eastAsia="fr-FR"/>
        </w:rPr>
        <w:t>n° 424</w:t>
      </w:r>
      <w:r w:rsidRPr="005B569A">
        <w:rPr>
          <w:lang w:eastAsia="fr-FR"/>
        </w:rPr>
        <w:t xml:space="preserve"> du</w:t>
      </w:r>
      <w:r w:rsidR="00B05E7A">
        <w:rPr>
          <w:lang w:eastAsia="fr-FR"/>
        </w:rPr>
        <w:t xml:space="preserve"> 20/03/19</w:t>
      </w:r>
      <w:r w:rsidRPr="005B569A">
        <w:rPr>
          <w:lang w:eastAsia="fr-FR"/>
        </w:rPr>
        <w:t xml:space="preserve"> sera délivrée par le maître d’ouvrage au sous-traitant à sa demande.</w:t>
      </w:r>
    </w:p>
    <w:p w:rsidR="005B569A" w:rsidRDefault="005B569A" w:rsidP="00E76F6F">
      <w:pPr>
        <w:sectPr w:rsidR="005B569A" w:rsidSect="00C7118C">
          <w:headerReference w:type="default" r:id="rId13"/>
          <w:footerReference w:type="default" r:id="rId14"/>
          <w:headerReference w:type="first" r:id="rId15"/>
          <w:footerReference w:type="first" r:id="rId16"/>
          <w:pgSz w:w="11906" w:h="16838"/>
          <w:pgMar w:top="851" w:right="991" w:bottom="1135" w:left="993" w:header="284" w:footer="266" w:gutter="0"/>
          <w:pgNumType w:start="1"/>
          <w:cols w:space="708"/>
          <w:docGrid w:linePitch="360"/>
        </w:sectPr>
      </w:pPr>
    </w:p>
    <w:p w:rsidR="005B569A" w:rsidRDefault="005B569A" w:rsidP="005F43A6">
      <w:pPr>
        <w:pStyle w:val="0ENTETE"/>
      </w:pPr>
      <w:bookmarkStart w:id="154" w:name="_Toc60319579"/>
      <w:r>
        <w:t>ANNEXE 2 </w:t>
      </w:r>
      <w:r w:rsidR="001F3402">
        <w:t xml:space="preserve">AU CCAP </w:t>
      </w:r>
      <w:r>
        <w:t>: MODELE D’ACTE SPECIAL DE SOUS-TRAITANCE DE SECOND RANG</w:t>
      </w:r>
      <w:bookmarkEnd w:id="154"/>
    </w:p>
    <w:p w:rsidR="006018E7" w:rsidRDefault="006018E7" w:rsidP="00E76F6F">
      <w:pPr>
        <w:sectPr w:rsidR="006018E7" w:rsidSect="00201BC5">
          <w:headerReference w:type="default" r:id="rId17"/>
          <w:footerReference w:type="default" r:id="rId18"/>
          <w:headerReference w:type="first" r:id="rId19"/>
          <w:footerReference w:type="first" r:id="rId20"/>
          <w:pgSz w:w="11906" w:h="16838"/>
          <w:pgMar w:top="709" w:right="991" w:bottom="709" w:left="993" w:header="284" w:footer="266" w:gutter="0"/>
          <w:pgNumType w:start="1"/>
          <w:cols w:space="708"/>
          <w:titlePg/>
          <w:docGrid w:linePitch="360"/>
        </w:sectPr>
      </w:pPr>
    </w:p>
    <w:p w:rsidR="006018E7" w:rsidRPr="006018E7" w:rsidRDefault="00C7118C" w:rsidP="002565F1">
      <w:pPr>
        <w:pStyle w:val="ANXNIV0"/>
        <w:rPr>
          <w:lang w:eastAsia="fr-FR"/>
        </w:rPr>
      </w:pPr>
      <w:r>
        <w:rPr>
          <w:lang w:eastAsia="fr-FR"/>
        </w:rPr>
        <w:t xml:space="preserve">ACTE SPECIAL N ° ………………….. </w:t>
      </w:r>
      <w:r w:rsidR="006018E7" w:rsidRPr="006018E7">
        <w:rPr>
          <w:lang w:eastAsia="fr-FR"/>
        </w:rPr>
        <w:t>PORTANT ACCEPTATION D'UN SOUS-TRAITANT DE SECOND RANG ET</w:t>
      </w:r>
      <w:r>
        <w:rPr>
          <w:lang w:eastAsia="fr-FR"/>
        </w:rPr>
        <w:t xml:space="preserve"> </w:t>
      </w:r>
      <w:r w:rsidR="006018E7" w:rsidRPr="006018E7">
        <w:rPr>
          <w:lang w:eastAsia="fr-FR"/>
        </w:rPr>
        <w:t>AGREMENT DES CONDITIONS DE PAIEMENT</w:t>
      </w:r>
    </w:p>
    <w:p w:rsidR="006018E7" w:rsidRPr="006018E7" w:rsidRDefault="00A87C22" w:rsidP="00C7118C">
      <w:pPr>
        <w:rPr>
          <w:lang w:eastAsia="fr-FR"/>
        </w:rPr>
      </w:pPr>
      <w:r>
        <w:rPr>
          <w:lang w:eastAsia="fr-FR"/>
        </w:rPr>
        <w:t xml:space="preserve">Après signature de l’acheteur public </w:t>
      </w:r>
      <w:r w:rsidR="006018E7" w:rsidRPr="006018E7">
        <w:rPr>
          <w:lang w:eastAsia="fr-FR"/>
        </w:rPr>
        <w:t xml:space="preserve">ou silence de l’administration gardé pendant 21 jours à compter de la fourniture de toutes les pièces nécessaires, </w:t>
      </w:r>
      <w:r w:rsidR="006018E7" w:rsidRPr="006018E7">
        <w:rPr>
          <w:b/>
          <w:lang w:eastAsia="fr-FR"/>
        </w:rPr>
        <w:t>la présente déclaration de sous-traitance</w:t>
      </w:r>
      <w:r w:rsidR="006018E7" w:rsidRPr="006018E7">
        <w:rPr>
          <w:lang w:eastAsia="fr-FR"/>
        </w:rPr>
        <w:t> :</w:t>
      </w:r>
    </w:p>
    <w:p w:rsidR="006018E7" w:rsidRPr="006018E7" w:rsidRDefault="00555941" w:rsidP="00C7118C">
      <w:pPr>
        <w:rPr>
          <w:lang w:eastAsia="fr-FR"/>
        </w:rPr>
      </w:pPr>
      <w:sdt>
        <w:sdtPr>
          <w:rPr>
            <w:lang w:eastAsia="fr-FR"/>
          </w:rPr>
          <w:id w:val="-1090925598"/>
          <w14:checkbox>
            <w14:checked w14:val="0"/>
            <w14:checkedState w14:val="2612" w14:font="MS Gothic"/>
            <w14:uncheckedState w14:val="2610" w14:font="MS Gothic"/>
          </w14:checkbox>
        </w:sdtPr>
        <w:sdtEndPr/>
        <w:sdtContent>
          <w:r w:rsidR="00C7118C" w:rsidRPr="005B569A">
            <w:rPr>
              <w:rFonts w:eastAsia="MS Gothic" w:hint="eastAsia"/>
              <w:lang w:eastAsia="fr-FR"/>
            </w:rPr>
            <w:t>☐</w:t>
          </w:r>
        </w:sdtContent>
      </w:sdt>
      <w:r w:rsidR="00C7118C" w:rsidRPr="005B569A">
        <w:rPr>
          <w:b/>
          <w:sz w:val="10"/>
          <w:lang w:eastAsia="fr-FR"/>
        </w:rPr>
        <w:t xml:space="preserve"> </w:t>
      </w:r>
      <w:proofErr w:type="gramStart"/>
      <w:r w:rsidR="006018E7" w:rsidRPr="006018E7">
        <w:rPr>
          <w:lang w:eastAsia="fr-FR"/>
        </w:rPr>
        <w:t>constitue</w:t>
      </w:r>
      <w:proofErr w:type="gramEnd"/>
      <w:r w:rsidR="006018E7" w:rsidRPr="006018E7">
        <w:rPr>
          <w:lang w:eastAsia="fr-FR"/>
        </w:rPr>
        <w:t xml:space="preserve"> un </w:t>
      </w:r>
      <w:r w:rsidR="006018E7" w:rsidRPr="006018E7">
        <w:rPr>
          <w:b/>
          <w:lang w:eastAsia="fr-FR"/>
        </w:rPr>
        <w:t>acte spécial</w:t>
      </w:r>
      <w:r w:rsidR="006018E7" w:rsidRPr="006018E7">
        <w:rPr>
          <w:lang w:eastAsia="fr-FR"/>
        </w:rPr>
        <w:t xml:space="preserve"> portant acceptation du sous-traitant de second rang et agrément de ses conditions de paiement.</w:t>
      </w:r>
    </w:p>
    <w:p w:rsidR="006018E7" w:rsidRPr="006018E7" w:rsidRDefault="00555941" w:rsidP="00C7118C">
      <w:pPr>
        <w:rPr>
          <w:lang w:eastAsia="fr-FR"/>
        </w:rPr>
      </w:pPr>
      <w:sdt>
        <w:sdtPr>
          <w:rPr>
            <w:lang w:eastAsia="fr-FR"/>
          </w:rPr>
          <w:id w:val="-19394469"/>
          <w14:checkbox>
            <w14:checked w14:val="0"/>
            <w14:checkedState w14:val="2612" w14:font="MS Gothic"/>
            <w14:uncheckedState w14:val="2610" w14:font="MS Gothic"/>
          </w14:checkbox>
        </w:sdtPr>
        <w:sdtEndPr/>
        <w:sdtContent>
          <w:r w:rsidR="00C7118C" w:rsidRPr="005B569A">
            <w:rPr>
              <w:rFonts w:eastAsia="MS Gothic" w:hint="eastAsia"/>
              <w:lang w:eastAsia="fr-FR"/>
            </w:rPr>
            <w:t>☐</w:t>
          </w:r>
        </w:sdtContent>
      </w:sdt>
      <w:r w:rsidR="00C7118C" w:rsidRPr="005B569A">
        <w:rPr>
          <w:b/>
          <w:sz w:val="10"/>
          <w:lang w:eastAsia="fr-FR"/>
        </w:rPr>
        <w:t xml:space="preserve"> </w:t>
      </w:r>
      <w:proofErr w:type="gramStart"/>
      <w:r w:rsidR="006018E7" w:rsidRPr="006018E7">
        <w:rPr>
          <w:lang w:eastAsia="fr-FR"/>
        </w:rPr>
        <w:t>constitue</w:t>
      </w:r>
      <w:proofErr w:type="gramEnd"/>
      <w:r w:rsidR="006018E7" w:rsidRPr="006018E7">
        <w:rPr>
          <w:lang w:eastAsia="fr-FR"/>
        </w:rPr>
        <w:t xml:space="preserve"> un </w:t>
      </w:r>
      <w:r w:rsidR="006018E7" w:rsidRPr="006018E7">
        <w:rPr>
          <w:b/>
          <w:lang w:eastAsia="fr-FR"/>
        </w:rPr>
        <w:t>acte spécial modificatif</w:t>
      </w:r>
      <w:r w:rsidR="006018E7" w:rsidRPr="006018E7">
        <w:rPr>
          <w:lang w:eastAsia="fr-FR"/>
        </w:rPr>
        <w:t>, annulant et remplaçant :</w:t>
      </w:r>
    </w:p>
    <w:p w:rsidR="006018E7" w:rsidRPr="006018E7" w:rsidRDefault="006018E7" w:rsidP="00C7118C">
      <w:pPr>
        <w:rPr>
          <w:lang w:eastAsia="fr-FR"/>
        </w:rPr>
      </w:pPr>
      <w:proofErr w:type="gramStart"/>
      <w:r w:rsidRPr="006018E7">
        <w:rPr>
          <w:lang w:eastAsia="fr-FR"/>
        </w:rPr>
        <w:t>l’annexe</w:t>
      </w:r>
      <w:proofErr w:type="gramEnd"/>
      <w:r w:rsidRPr="006018E7">
        <w:rPr>
          <w:lang w:eastAsia="fr-FR"/>
        </w:rPr>
        <w:t xml:space="preserve"> n° ….  </w:t>
      </w:r>
      <w:proofErr w:type="gramStart"/>
      <w:r w:rsidRPr="006018E7">
        <w:rPr>
          <w:lang w:eastAsia="fr-FR"/>
        </w:rPr>
        <w:t>de</w:t>
      </w:r>
      <w:proofErr w:type="gramEnd"/>
      <w:r w:rsidRPr="006018E7">
        <w:rPr>
          <w:lang w:eastAsia="fr-FR"/>
        </w:rPr>
        <w:t xml:space="preserve"> l’acte d’engagement portant sur le même sous-traitant ;</w:t>
      </w:r>
    </w:p>
    <w:p w:rsidR="006018E7" w:rsidRPr="006018E7" w:rsidRDefault="00C7118C" w:rsidP="00C7118C">
      <w:pPr>
        <w:rPr>
          <w:lang w:eastAsia="fr-FR"/>
        </w:rPr>
      </w:pPr>
      <w:r w:rsidRPr="006018E7">
        <w:rPr>
          <w:noProof/>
          <w:lang w:eastAsia="fr-FR"/>
        </w:rPr>
        <mc:AlternateContent>
          <mc:Choice Requires="wps">
            <w:drawing>
              <wp:anchor distT="0" distB="0" distL="114300" distR="114300" simplePos="0" relativeHeight="251658240" behindDoc="0" locked="0" layoutInCell="1" allowOverlap="1" wp14:anchorId="43766088" wp14:editId="2F620A76">
                <wp:simplePos x="0" y="0"/>
                <wp:positionH relativeFrom="column">
                  <wp:posOffset>541020</wp:posOffset>
                </wp:positionH>
                <wp:positionV relativeFrom="paragraph">
                  <wp:posOffset>325755</wp:posOffset>
                </wp:positionV>
                <wp:extent cx="5753100" cy="23812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5753100" cy="2381250"/>
                        </a:xfrm>
                        <a:prstGeom prst="rect">
                          <a:avLst/>
                        </a:prstGeom>
                        <a:noFill/>
                        <a:ln w="3175" cap="flat" cmpd="sng" algn="ctr">
                          <a:solidFill>
                            <a:sysClr val="window" lastClr="FFFFFF">
                              <a:lumMod val="75000"/>
                            </a:sysClr>
                          </a:solidFill>
                          <a:prstDash val="dash"/>
                        </a:ln>
                        <a:effectLst/>
                      </wps:spPr>
                      <wps:txbx>
                        <w:txbxContent>
                          <w:p w:rsidR="000171CB" w:rsidRPr="00425E48" w:rsidRDefault="000171CB" w:rsidP="00C7118C">
                            <w:pPr>
                              <w:ind w:left="0"/>
                            </w:pPr>
                            <w:r w:rsidRPr="00425E48">
                              <w:t>Espace réservé à la mention prévue à l’article 97 de la délibération 136 du 1/3/67</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2.6pt;margin-top:25.65pt;width:4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" filled="f" strokecolor="#bfbfbf" strokeweight=".25pt">
                <v:stroke dashstyle="dash"/>
                <v:textbox inset="1mm,.5mm,1mm,1mm">
                  <w:txbxContent>
                    <w:p w:rsidR="000171CB" w:rsidRPr="00425E48" w:rsidRDefault="000171CB" w:rsidP="00C7118C">
                      <w:pPr>
                        <w:ind w:left="0"/>
                      </w:pPr>
                      <w:r w:rsidRPr="00425E48">
                        <w:t>Espace réservé à la mention prévue à l’article 97 de la délibération 136 du 1/3/67</w:t>
                      </w:r>
                    </w:p>
                  </w:txbxContent>
                </v:textbox>
                <w10:wrap type="topAndBottom"/>
              </v:rect>
            </w:pict>
          </mc:Fallback>
        </mc:AlternateContent>
      </w:r>
      <w:proofErr w:type="gramStart"/>
      <w:r w:rsidR="006018E7" w:rsidRPr="006018E7">
        <w:rPr>
          <w:lang w:eastAsia="fr-FR"/>
        </w:rPr>
        <w:t>l’acte</w:t>
      </w:r>
      <w:proofErr w:type="gramEnd"/>
      <w:r w:rsidR="006018E7" w:rsidRPr="006018E7">
        <w:rPr>
          <w:lang w:eastAsia="fr-FR"/>
        </w:rPr>
        <w:t xml:space="preserve"> spécial précédent n° …….    notifié le ………….. </w:t>
      </w:r>
    </w:p>
    <w:p w:rsidR="006018E7" w:rsidRDefault="006018E7" w:rsidP="002565F1">
      <w:pPr>
        <w:pStyle w:val="ANXNIV1"/>
      </w:pPr>
      <w:r w:rsidRPr="006018E7">
        <w:t>MARCHÉ :</w:t>
      </w:r>
    </w:p>
    <w:p w:rsidR="00C7118C" w:rsidRDefault="00A87C22" w:rsidP="00C7118C">
      <w:pPr>
        <w:rPr>
          <w:lang w:eastAsia="fr-FR"/>
        </w:rPr>
      </w:pPr>
      <w:r>
        <w:rPr>
          <w:lang w:eastAsia="fr-FR"/>
        </w:rPr>
        <w:t>Acheteur public</w:t>
      </w:r>
      <w:r w:rsidR="00C7118C">
        <w:rPr>
          <w:lang w:eastAsia="fr-FR"/>
        </w:rPr>
        <w:t xml:space="preserve"> :</w:t>
      </w:r>
      <w:r w:rsidR="00C7118C">
        <w:rPr>
          <w:lang w:eastAsia="fr-FR"/>
        </w:rPr>
        <w:tab/>
      </w:r>
    </w:p>
    <w:p w:rsidR="00C7118C" w:rsidRDefault="00C7118C" w:rsidP="00C7118C">
      <w:pPr>
        <w:rPr>
          <w:lang w:eastAsia="fr-FR"/>
        </w:rPr>
      </w:pPr>
      <w:r>
        <w:rPr>
          <w:lang w:eastAsia="fr-FR"/>
        </w:rPr>
        <w:t>Personne chargée de fournir les renseignements prévus à l’article 101 de la délibération 424 du 20/03/2019 modifiée :</w:t>
      </w:r>
      <w:r>
        <w:rPr>
          <w:lang w:eastAsia="fr-FR"/>
        </w:rPr>
        <w:tab/>
      </w:r>
    </w:p>
    <w:p w:rsidR="00C7118C" w:rsidRDefault="00C7118C" w:rsidP="00C7118C">
      <w:pPr>
        <w:rPr>
          <w:lang w:eastAsia="fr-FR"/>
        </w:rPr>
      </w:pPr>
      <w:r>
        <w:rPr>
          <w:lang w:eastAsia="fr-FR"/>
        </w:rPr>
        <w:t>Comptable assignataire des paiements :</w:t>
      </w:r>
      <w:r>
        <w:rPr>
          <w:lang w:eastAsia="fr-FR"/>
        </w:rPr>
        <w:tab/>
      </w:r>
    </w:p>
    <w:p w:rsidR="00C7118C" w:rsidRDefault="00C7118C" w:rsidP="00C7118C">
      <w:pPr>
        <w:rPr>
          <w:lang w:eastAsia="fr-FR"/>
        </w:rPr>
      </w:pPr>
      <w:r>
        <w:rPr>
          <w:lang w:eastAsia="fr-FR"/>
        </w:rPr>
        <w:t>N° du marché :</w:t>
      </w:r>
      <w:r>
        <w:rPr>
          <w:lang w:eastAsia="fr-FR"/>
        </w:rPr>
        <w:tab/>
      </w:r>
      <w:r>
        <w:rPr>
          <w:lang w:eastAsia="fr-FR"/>
        </w:rPr>
        <w:tab/>
        <w:t>notifié le :</w:t>
      </w:r>
      <w:r>
        <w:rPr>
          <w:lang w:eastAsia="fr-FR"/>
        </w:rPr>
        <w:tab/>
      </w:r>
      <w:r>
        <w:rPr>
          <w:lang w:eastAsia="fr-FR"/>
        </w:rPr>
        <w:tab/>
        <w:t>- Avenant n°</w:t>
      </w:r>
      <w:r>
        <w:rPr>
          <w:lang w:eastAsia="fr-FR"/>
        </w:rPr>
        <w:tab/>
      </w:r>
      <w:r>
        <w:rPr>
          <w:lang w:eastAsia="fr-FR"/>
        </w:rPr>
        <w:tab/>
        <w:t xml:space="preserve">notifié le : </w:t>
      </w:r>
      <w:r>
        <w:rPr>
          <w:lang w:eastAsia="fr-FR"/>
        </w:rPr>
        <w:tab/>
      </w:r>
    </w:p>
    <w:p w:rsidR="00C7118C" w:rsidRDefault="00C7118C" w:rsidP="00C7118C">
      <w:pPr>
        <w:rPr>
          <w:lang w:eastAsia="fr-FR"/>
        </w:rPr>
      </w:pPr>
      <w:r>
        <w:rPr>
          <w:lang w:eastAsia="fr-FR"/>
        </w:rPr>
        <w:t>Objet du marché</w:t>
      </w:r>
      <w:r>
        <w:rPr>
          <w:lang w:eastAsia="fr-FR"/>
        </w:rPr>
        <w:tab/>
      </w:r>
    </w:p>
    <w:p w:rsidR="00C7118C" w:rsidRDefault="00C7118C" w:rsidP="00C7118C">
      <w:pPr>
        <w:rPr>
          <w:lang w:eastAsia="fr-FR"/>
        </w:rPr>
      </w:pPr>
      <w:r>
        <w:rPr>
          <w:lang w:eastAsia="fr-FR"/>
        </w:rPr>
        <w:t>Lot</w:t>
      </w:r>
      <w:r>
        <w:rPr>
          <w:lang w:eastAsia="fr-FR"/>
        </w:rPr>
        <w:tab/>
      </w:r>
      <w:r>
        <w:rPr>
          <w:lang w:eastAsia="fr-FR"/>
        </w:rPr>
        <w:tab/>
        <w:t>Titulaire/Mandataire</w:t>
      </w:r>
      <w:r>
        <w:rPr>
          <w:lang w:eastAsia="fr-FR"/>
        </w:rPr>
        <w:tab/>
      </w:r>
    </w:p>
    <w:p w:rsidR="00C7118C" w:rsidRDefault="00C7118C" w:rsidP="00C7118C">
      <w:pPr>
        <w:rPr>
          <w:lang w:eastAsia="fr-FR"/>
        </w:rPr>
      </w:pPr>
      <w:r>
        <w:rPr>
          <w:lang w:eastAsia="fr-FR"/>
        </w:rPr>
        <w:t>Sous-traitant direct (rang 1) :</w:t>
      </w:r>
    </w:p>
    <w:p w:rsidR="00C7118C" w:rsidRDefault="00C7118C" w:rsidP="002565F1">
      <w:pPr>
        <w:pStyle w:val="ANXNIV1"/>
      </w:pPr>
      <w:r>
        <w:t>SOUS-TRAITANT DE SECOND RANG (rang 2) :</w:t>
      </w:r>
      <w:r>
        <w:tab/>
      </w:r>
    </w:p>
    <w:p w:rsidR="00C7118C" w:rsidRDefault="00C7118C" w:rsidP="00C7118C">
      <w:pPr>
        <w:rPr>
          <w:lang w:eastAsia="fr-FR"/>
        </w:rPr>
      </w:pPr>
      <w:r>
        <w:rPr>
          <w:lang w:eastAsia="fr-FR"/>
        </w:rPr>
        <w:t>Nom, raison ou dénomination sociale :</w:t>
      </w:r>
      <w:r>
        <w:rPr>
          <w:lang w:eastAsia="fr-FR"/>
        </w:rPr>
        <w:tab/>
      </w:r>
    </w:p>
    <w:p w:rsidR="00C7118C" w:rsidRDefault="00C7118C" w:rsidP="00C7118C">
      <w:pPr>
        <w:rPr>
          <w:lang w:eastAsia="fr-FR"/>
        </w:rPr>
      </w:pPr>
      <w:r>
        <w:rPr>
          <w:lang w:eastAsia="fr-FR"/>
        </w:rPr>
        <w:t>Forme juridique (entreprise individuelle ou société, etc…):</w:t>
      </w:r>
      <w:r>
        <w:rPr>
          <w:lang w:eastAsia="fr-FR"/>
        </w:rPr>
        <w:tab/>
      </w:r>
    </w:p>
    <w:p w:rsidR="00C7118C" w:rsidRDefault="00C7118C" w:rsidP="00C7118C">
      <w:pPr>
        <w:rPr>
          <w:lang w:eastAsia="fr-FR"/>
        </w:rPr>
      </w:pPr>
      <w:r>
        <w:rPr>
          <w:lang w:eastAsia="fr-FR"/>
        </w:rPr>
        <w:t>Numéro d'identité d'établissement (RIDET) :</w:t>
      </w:r>
      <w:r>
        <w:rPr>
          <w:lang w:eastAsia="fr-FR"/>
        </w:rPr>
        <w:tab/>
      </w:r>
    </w:p>
    <w:p w:rsidR="00C7118C" w:rsidRDefault="00C7118C" w:rsidP="00C7118C">
      <w:pPr>
        <w:rPr>
          <w:lang w:eastAsia="fr-FR"/>
        </w:rPr>
      </w:pPr>
      <w:r>
        <w:rPr>
          <w:lang w:eastAsia="fr-FR"/>
        </w:rPr>
        <w:t>Numéro d'inscription au registre du commerce ou au répertoire des  métiers :</w:t>
      </w:r>
      <w:r>
        <w:rPr>
          <w:lang w:eastAsia="fr-FR"/>
        </w:rPr>
        <w:tab/>
      </w:r>
    </w:p>
    <w:p w:rsidR="00C7118C" w:rsidRDefault="00C7118C" w:rsidP="00C7118C">
      <w:pPr>
        <w:rPr>
          <w:lang w:eastAsia="fr-FR"/>
        </w:rPr>
      </w:pPr>
      <w:r>
        <w:rPr>
          <w:lang w:eastAsia="fr-FR"/>
        </w:rPr>
        <w:t>Nom et prénom du représentant habilité :</w:t>
      </w:r>
      <w:r>
        <w:rPr>
          <w:lang w:eastAsia="fr-FR"/>
        </w:rPr>
        <w:tab/>
      </w:r>
    </w:p>
    <w:p w:rsidR="00C7118C" w:rsidRDefault="00C7118C" w:rsidP="00C7118C">
      <w:pPr>
        <w:rPr>
          <w:lang w:eastAsia="fr-FR"/>
        </w:rPr>
      </w:pPr>
      <w:r>
        <w:rPr>
          <w:lang w:eastAsia="fr-FR"/>
        </w:rPr>
        <w:t>Adresse :</w:t>
      </w:r>
      <w:r>
        <w:rPr>
          <w:lang w:eastAsia="fr-FR"/>
        </w:rPr>
        <w:tab/>
      </w:r>
    </w:p>
    <w:p w:rsidR="00C7118C" w:rsidRDefault="00C7118C" w:rsidP="00C7118C">
      <w:pPr>
        <w:rPr>
          <w:lang w:eastAsia="fr-FR"/>
        </w:rPr>
      </w:pPr>
      <w:r>
        <w:rPr>
          <w:lang w:eastAsia="fr-FR"/>
        </w:rPr>
        <w:t>Contacts (email, GSM) :</w:t>
      </w:r>
      <w:r>
        <w:rPr>
          <w:lang w:eastAsia="fr-FR"/>
        </w:rPr>
        <w:tab/>
      </w:r>
    </w:p>
    <w:p w:rsidR="006018E7" w:rsidRPr="006018E7" w:rsidRDefault="006018E7" w:rsidP="00E76F6F">
      <w:pPr>
        <w:rPr>
          <w:lang w:eastAsia="fr-FR"/>
        </w:rPr>
      </w:pPr>
      <w:r w:rsidRPr="006018E7">
        <w:rPr>
          <w:lang w:eastAsia="fr-FR"/>
        </w:rPr>
        <w:t>Le sous-traitant de second rang est-il en état de : (entourer toutes les mentions adéquates, rayer toutes les mentions inutiles)</w:t>
      </w:r>
    </w:p>
    <w:p w:rsidR="006018E7" w:rsidRPr="006018E7" w:rsidRDefault="006018E7" w:rsidP="00E76F6F">
      <w:pPr>
        <w:rPr>
          <w:lang w:eastAsia="fr-FR"/>
        </w:rPr>
      </w:pPr>
      <w:r w:rsidRPr="006018E7">
        <w:rPr>
          <w:lang w:eastAsia="fr-FR"/>
        </w:rPr>
        <w:sym w:font="Wingdings" w:char="F0A7"/>
      </w:r>
      <w:r w:rsidRPr="006018E7">
        <w:rPr>
          <w:lang w:eastAsia="fr-FR"/>
        </w:rPr>
        <w:t xml:space="preserve"> Liquidation :</w:t>
      </w:r>
      <w:r w:rsidRPr="006018E7">
        <w:rPr>
          <w:b/>
          <w:lang w:eastAsia="fr-FR"/>
        </w:rPr>
        <w:t xml:space="preserve"> </w:t>
      </w:r>
      <w:r w:rsidRPr="006018E7">
        <w:rPr>
          <w:lang w:eastAsia="fr-FR"/>
        </w:rPr>
        <w:t>OUI – NON</w:t>
      </w:r>
      <w:r w:rsidRPr="006018E7">
        <w:rPr>
          <w:lang w:eastAsia="fr-FR"/>
        </w:rPr>
        <w:tab/>
      </w:r>
      <w:r w:rsidR="00C7118C">
        <w:rPr>
          <w:lang w:eastAsia="fr-FR"/>
        </w:rPr>
        <w:tab/>
      </w:r>
      <w:r w:rsidRPr="006018E7">
        <w:rPr>
          <w:lang w:eastAsia="fr-FR"/>
        </w:rPr>
        <w:sym w:font="Wingdings" w:char="F0A7"/>
      </w:r>
      <w:r w:rsidRPr="006018E7">
        <w:rPr>
          <w:lang w:eastAsia="fr-FR"/>
        </w:rPr>
        <w:t xml:space="preserve"> Redressement judiciaire :</w:t>
      </w:r>
      <w:r w:rsidRPr="006018E7">
        <w:rPr>
          <w:b/>
          <w:lang w:eastAsia="fr-FR"/>
        </w:rPr>
        <w:t xml:space="preserve"> </w:t>
      </w:r>
      <w:r w:rsidRPr="006018E7">
        <w:rPr>
          <w:lang w:eastAsia="fr-FR"/>
        </w:rPr>
        <w:t>OUI – NON</w:t>
      </w:r>
    </w:p>
    <w:p w:rsidR="006018E7" w:rsidRPr="006018E7" w:rsidRDefault="006018E7" w:rsidP="00E76F6F">
      <w:pPr>
        <w:rPr>
          <w:lang w:eastAsia="fr-FR"/>
        </w:rPr>
      </w:pPr>
      <w:r w:rsidRPr="006018E7">
        <w:rPr>
          <w:lang w:eastAsia="fr-FR"/>
        </w:rPr>
        <w:sym w:font="Wingdings" w:char="F0A7"/>
      </w:r>
      <w:r w:rsidRPr="006018E7">
        <w:rPr>
          <w:lang w:eastAsia="fr-FR"/>
        </w:rPr>
        <w:t xml:space="preserve"> Faillite personnelle : OUI – NON</w:t>
      </w:r>
      <w:r w:rsidRPr="006018E7">
        <w:rPr>
          <w:lang w:eastAsia="fr-FR"/>
        </w:rPr>
        <w:tab/>
      </w:r>
      <w:r w:rsidRPr="006018E7">
        <w:rPr>
          <w:lang w:eastAsia="fr-FR"/>
        </w:rPr>
        <w:sym w:font="Wingdings" w:char="F0A7"/>
      </w:r>
      <w:r w:rsidR="00C7118C">
        <w:rPr>
          <w:lang w:eastAsia="fr-FR"/>
        </w:rPr>
        <w:t xml:space="preserve"> P</w:t>
      </w:r>
      <w:r w:rsidRPr="006018E7">
        <w:rPr>
          <w:lang w:eastAsia="fr-FR"/>
        </w:rPr>
        <w:t>rocédures équivalentes s’il est établi à l'étranger : OUI - NON</w:t>
      </w:r>
    </w:p>
    <w:p w:rsidR="006018E7" w:rsidRDefault="006018E7" w:rsidP="00E76F6F">
      <w:pPr>
        <w:rPr>
          <w:color w:val="000000"/>
          <w:lang w:eastAsia="fr-FR"/>
        </w:rPr>
      </w:pPr>
      <w:r w:rsidRPr="006018E7">
        <w:rPr>
          <w:lang w:eastAsia="fr-FR"/>
        </w:rPr>
        <w:t xml:space="preserve">Dans le cas d’un redressement judiciaire, joindre copie du ou des jugements (ou autres justificatifs) montrant qu’il est autorisé à poursuivre ses activités </w:t>
      </w:r>
      <w:r w:rsidRPr="006018E7">
        <w:rPr>
          <w:color w:val="000000"/>
          <w:lang w:eastAsia="fr-FR"/>
        </w:rPr>
        <w:t>pendant la durée prévisible d’exécution du marché.</w:t>
      </w:r>
    </w:p>
    <w:p w:rsidR="00C7118C" w:rsidRPr="00C7118C" w:rsidRDefault="00C7118C" w:rsidP="002565F1">
      <w:pPr>
        <w:pStyle w:val="ANXNIV1"/>
      </w:pPr>
      <w:r w:rsidRPr="00C7118C">
        <w:t>NATURE ET PRIX DES PRESTATIONS SOUS-TRAITEES :</w:t>
      </w:r>
    </w:p>
    <w:p w:rsidR="00C7118C" w:rsidRPr="00C7118C" w:rsidRDefault="00C7118C" w:rsidP="00C7118C">
      <w:pPr>
        <w:rPr>
          <w:color w:val="000000"/>
          <w:lang w:eastAsia="fr-FR"/>
        </w:rPr>
      </w:pPr>
      <w:r w:rsidRPr="00C7118C">
        <w:rPr>
          <w:color w:val="000000"/>
          <w:lang w:eastAsia="fr-FR"/>
        </w:rPr>
        <w:t xml:space="preserve"> Nature précise :</w:t>
      </w:r>
      <w:r w:rsidRPr="00C7118C">
        <w:rPr>
          <w:color w:val="000000"/>
          <w:lang w:eastAsia="fr-FR"/>
        </w:rPr>
        <w:tab/>
      </w:r>
    </w:p>
    <w:p w:rsidR="00C7118C" w:rsidRPr="00C7118C" w:rsidRDefault="00C7118C" w:rsidP="00C7118C">
      <w:pPr>
        <w:rPr>
          <w:color w:val="000000"/>
          <w:lang w:eastAsia="fr-FR"/>
        </w:rPr>
      </w:pPr>
    </w:p>
    <w:p w:rsidR="00455508" w:rsidRDefault="00C7118C" w:rsidP="00C7118C">
      <w:pPr>
        <w:rPr>
          <w:color w:val="000000"/>
          <w:lang w:eastAsia="fr-FR"/>
        </w:rPr>
      </w:pPr>
      <w:r w:rsidRPr="00C7118C">
        <w:rPr>
          <w:color w:val="000000"/>
          <w:lang w:eastAsia="fr-FR"/>
        </w:rPr>
        <w:t>Montant sous-traité HT :</w:t>
      </w:r>
      <w:r w:rsidR="00455508">
        <w:rPr>
          <w:color w:val="000000"/>
          <w:lang w:eastAsia="fr-FR"/>
        </w:rPr>
        <w:t xml:space="preserve"> Précisé sur chaque bon de commande</w:t>
      </w:r>
    </w:p>
    <w:p w:rsidR="00C7118C" w:rsidRPr="00C7118C" w:rsidRDefault="00C7118C" w:rsidP="00C7118C">
      <w:pPr>
        <w:rPr>
          <w:color w:val="000000"/>
          <w:lang w:eastAsia="fr-FR"/>
        </w:rPr>
      </w:pPr>
      <w:r w:rsidRPr="00C7118C">
        <w:rPr>
          <w:color w:val="000000"/>
          <w:lang w:eastAsia="fr-FR"/>
        </w:rPr>
        <w:t>Taux des taxes (cf. contrat de sous-traitance) :</w:t>
      </w:r>
      <w:r w:rsidR="00455508">
        <w:rPr>
          <w:color w:val="000000"/>
          <w:lang w:eastAsia="fr-FR"/>
        </w:rPr>
        <w:t xml:space="preserve"> Précisé sur chaque bon de commande</w:t>
      </w:r>
    </w:p>
    <w:p w:rsidR="00C7118C" w:rsidRDefault="00C7118C" w:rsidP="00C7118C">
      <w:pPr>
        <w:rPr>
          <w:color w:val="000000"/>
          <w:lang w:eastAsia="fr-FR"/>
        </w:rPr>
      </w:pPr>
      <w:r w:rsidRPr="00C7118C">
        <w:rPr>
          <w:color w:val="000000"/>
          <w:lang w:eastAsia="fr-FR"/>
        </w:rPr>
        <w:t>Montant sous-traité TTC :</w:t>
      </w:r>
      <w:r w:rsidR="00455508">
        <w:rPr>
          <w:color w:val="000000"/>
          <w:lang w:eastAsia="fr-FR"/>
        </w:rPr>
        <w:t xml:space="preserve"> Précisé sur chaque bon de commande</w:t>
      </w:r>
    </w:p>
    <w:p w:rsidR="006018E7" w:rsidRPr="006018E7" w:rsidRDefault="006018E7" w:rsidP="002565F1">
      <w:pPr>
        <w:pStyle w:val="ANXNIV1"/>
      </w:pPr>
      <w:r w:rsidRPr="006018E7">
        <w:t>CONDITIONS DE PAIEMENT DU CONTRAT DE SOUS-TRAITANCE :</w:t>
      </w:r>
    </w:p>
    <w:p w:rsidR="006018E7" w:rsidRPr="00DA53C9" w:rsidRDefault="006018E7" w:rsidP="00E76F6F">
      <w:pPr>
        <w:rPr>
          <w:lang w:eastAsia="fr-FR"/>
        </w:rPr>
      </w:pPr>
      <w:r w:rsidRPr="00DA53C9">
        <w:rPr>
          <w:lang w:eastAsia="fr-FR"/>
        </w:rPr>
        <w:t xml:space="preserve">Cocher la formule choisie </w:t>
      </w:r>
      <w:r w:rsidR="00DA53C9">
        <w:rPr>
          <w:lang w:eastAsia="fr-FR"/>
        </w:rPr>
        <w:t xml:space="preserve">A, B ou C </w:t>
      </w:r>
      <w:r w:rsidRPr="00DA53C9">
        <w:rPr>
          <w:lang w:eastAsia="fr-FR"/>
        </w:rPr>
        <w:t>(cf. article</w:t>
      </w:r>
      <w:r w:rsidR="00DA53C9" w:rsidRPr="00DA53C9">
        <w:rPr>
          <w:lang w:eastAsia="fr-FR"/>
        </w:rPr>
        <w:t xml:space="preserve">s 6, </w:t>
      </w:r>
      <w:r w:rsidRPr="00DA53C9">
        <w:rPr>
          <w:lang w:eastAsia="fr-FR"/>
        </w:rPr>
        <w:t xml:space="preserve"> 14 de la loi n° 75-1334 du 31/12/75</w:t>
      </w:r>
      <w:r w:rsidR="00DA53C9" w:rsidRPr="00DA53C9">
        <w:rPr>
          <w:lang w:eastAsia="fr-FR"/>
        </w:rPr>
        <w:t xml:space="preserve"> et article 97-1 de la délibération n° 424 du 20/03/2019</w:t>
      </w:r>
      <w:r w:rsidRPr="00DA53C9">
        <w:rPr>
          <w:lang w:eastAsia="fr-FR"/>
        </w:rPr>
        <w:t>)</w:t>
      </w:r>
    </w:p>
    <w:p w:rsidR="006018E7" w:rsidRPr="006018E7" w:rsidRDefault="00DA53C9" w:rsidP="00E76F6F">
      <w:pPr>
        <w:rPr>
          <w:lang w:eastAsia="fr-FR"/>
        </w:rPr>
      </w:pPr>
      <w:r>
        <w:rPr>
          <w:lang w:eastAsia="fr-FR"/>
        </w:rPr>
        <w:t>A</w:t>
      </w:r>
      <w:sdt>
        <w:sdtPr>
          <w:rPr>
            <w:lang w:eastAsia="fr-FR"/>
          </w:rPr>
          <w:id w:val="250558466"/>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r w:rsidR="006018E7" w:rsidRPr="006018E7">
        <w:rPr>
          <w:lang w:eastAsia="fr-FR"/>
        </w:rPr>
        <w:t xml:space="preserve"> Le sous-traitant de rang 1 paie directement le sous-traitant de rang 2 : le premier </w:t>
      </w:r>
      <w:r>
        <w:rPr>
          <w:lang w:eastAsia="fr-FR"/>
        </w:rPr>
        <w:t>atteste avoir fourni</w:t>
      </w:r>
      <w:r w:rsidR="006018E7" w:rsidRPr="006018E7">
        <w:rPr>
          <w:lang w:eastAsia="fr-FR"/>
        </w:rPr>
        <w:t xml:space="preserve"> au second une caution personnelle et solidaire garantissant les sommes dues en vertu du </w:t>
      </w:r>
      <w:r>
        <w:rPr>
          <w:lang w:eastAsia="fr-FR"/>
        </w:rPr>
        <w:t>sous-traité</w:t>
      </w:r>
      <w:r w:rsidR="006018E7" w:rsidRPr="006018E7">
        <w:rPr>
          <w:lang w:eastAsia="fr-FR"/>
        </w:rPr>
        <w:t>.</w:t>
      </w:r>
    </w:p>
    <w:p w:rsidR="006018E7" w:rsidRDefault="00DA53C9" w:rsidP="00E76F6F">
      <w:pPr>
        <w:rPr>
          <w:lang w:eastAsia="fr-FR"/>
        </w:rPr>
      </w:pPr>
      <w:r>
        <w:rPr>
          <w:lang w:eastAsia="fr-FR"/>
        </w:rPr>
        <w:t>B</w:t>
      </w:r>
      <w:sdt>
        <w:sdtPr>
          <w:rPr>
            <w:lang w:eastAsia="fr-FR"/>
          </w:rPr>
          <w:id w:val="-191306185"/>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r w:rsidR="006018E7" w:rsidRPr="006018E7">
        <w:rPr>
          <w:lang w:eastAsia="fr-FR"/>
        </w:rPr>
        <w:t xml:space="preserve"> Le sous-traitant de rang 1 délègue par la présente </w:t>
      </w:r>
      <w:r w:rsidR="0090273D">
        <w:rPr>
          <w:lang w:eastAsia="fr-FR"/>
        </w:rPr>
        <w:t>l’acheteur public</w:t>
      </w:r>
      <w:r w:rsidR="006018E7" w:rsidRPr="006018E7">
        <w:rPr>
          <w:lang w:eastAsia="fr-FR"/>
        </w:rPr>
        <w:t xml:space="preserve"> pour payer directement le sous-traitant de rang 2 à concurrence du montant des prestations que ce dernier aura exécutées.</w:t>
      </w:r>
    </w:p>
    <w:p w:rsidR="00DA53C9" w:rsidRDefault="00DA53C9" w:rsidP="00E76F6F">
      <w:r>
        <w:rPr>
          <w:lang w:eastAsia="fr-FR"/>
        </w:rPr>
        <w:t>C</w:t>
      </w:r>
      <w:sdt>
        <w:sdtPr>
          <w:rPr>
            <w:lang w:eastAsia="fr-FR"/>
          </w:rPr>
          <w:id w:val="626120100"/>
          <w14:checkbox>
            <w14:checked w14:val="0"/>
            <w14:checkedState w14:val="2612" w14:font="MS Gothic"/>
            <w14:uncheckedState w14:val="2610" w14:font="MS Gothic"/>
          </w14:checkbox>
        </w:sdtPr>
        <w:sdtEndPr/>
        <w:sdtContent>
          <w:r>
            <w:rPr>
              <w:rFonts w:ascii="MS Gothic" w:eastAsia="MS Gothic" w:hAnsi="MS Gothic" w:hint="eastAsia"/>
              <w:lang w:eastAsia="fr-FR"/>
            </w:rPr>
            <w:t>☐</w:t>
          </w:r>
        </w:sdtContent>
      </w:sdt>
      <w:r w:rsidRPr="006018E7">
        <w:rPr>
          <w:lang w:eastAsia="fr-FR"/>
        </w:rPr>
        <w:t xml:space="preserve"> </w:t>
      </w:r>
      <w:r>
        <w:t>Paiement direct du sous-traitant par l’acheteur public (choisir l’option 1 ou 2 – à défaut c’est l’option 1 qui s’applique) :</w:t>
      </w:r>
    </w:p>
    <w:p w:rsidR="00DA53C9" w:rsidRDefault="00555941" w:rsidP="00C7118C">
      <w:pPr>
        <w:pStyle w:val="ListeX"/>
      </w:pPr>
      <w:sdt>
        <w:sdtPr>
          <w:id w:val="1934390057"/>
          <w14:checkbox>
            <w14:checked w14:val="0"/>
            <w14:checkedState w14:val="2612" w14:font="MS Gothic"/>
            <w14:uncheckedState w14:val="2610" w14:font="MS Gothic"/>
          </w14:checkbox>
        </w:sdtPr>
        <w:sdtEndPr/>
        <w:sdtContent>
          <w:r w:rsidR="00DA53C9">
            <w:rPr>
              <w:rFonts w:ascii="MS Gothic" w:eastAsia="MS Gothic" w:hAnsi="MS Gothic" w:hint="eastAsia"/>
            </w:rPr>
            <w:t>☐</w:t>
          </w:r>
        </w:sdtContent>
      </w:sdt>
      <w:r w:rsidR="00DA53C9">
        <w:t xml:space="preserve"> 1 - Quel que soit le montant sous-traité.</w:t>
      </w:r>
    </w:p>
    <w:p w:rsidR="00DA53C9" w:rsidRDefault="00555941" w:rsidP="00C7118C">
      <w:pPr>
        <w:pStyle w:val="ListeX"/>
      </w:pPr>
      <w:sdt>
        <w:sdtPr>
          <w:id w:val="1090592278"/>
          <w14:checkbox>
            <w14:checked w14:val="0"/>
            <w14:checkedState w14:val="2612" w14:font="MS Gothic"/>
            <w14:uncheckedState w14:val="2610" w14:font="MS Gothic"/>
          </w14:checkbox>
        </w:sdtPr>
        <w:sdtEndPr/>
        <w:sdtContent>
          <w:r w:rsidR="00DA53C9">
            <w:rPr>
              <w:rFonts w:ascii="MS Gothic" w:eastAsia="MS Gothic" w:hAnsi="MS Gothic" w:hint="eastAsia"/>
            </w:rPr>
            <w:t>☐</w:t>
          </w:r>
        </w:sdtContent>
      </w:sdt>
      <w:r w:rsidR="00DA53C9">
        <w:t xml:space="preserve"> 2 - Uniquement lorsque le montant sous-traité est supérieur à 500.000 F HT.</w:t>
      </w:r>
    </w:p>
    <w:p w:rsidR="00C7118C" w:rsidRDefault="00C7118C" w:rsidP="002565F1">
      <w:pPr>
        <w:pStyle w:val="ANXNIV1"/>
      </w:pPr>
      <w:r>
        <w:t>COMPTE A CREDITER :</w:t>
      </w:r>
    </w:p>
    <w:p w:rsidR="00C7118C" w:rsidRDefault="00C7118C" w:rsidP="00C7118C">
      <w:r>
        <w:t>NOM :</w:t>
      </w:r>
      <w:r>
        <w:tab/>
      </w:r>
    </w:p>
    <w:p w:rsidR="00C7118C" w:rsidRDefault="00C7118C" w:rsidP="00C7118C">
      <w:r>
        <w:t>BANQUE :</w:t>
      </w:r>
      <w:r>
        <w:tab/>
      </w:r>
    </w:p>
    <w:p w:rsidR="00C7118C" w:rsidRDefault="00C7118C" w:rsidP="00C7118C">
      <w:r>
        <w:t>N° DE COMPTE (23 chiffres) :</w:t>
      </w:r>
    </w:p>
    <w:p w:rsidR="00C7118C" w:rsidRDefault="00C7118C" w:rsidP="00C7118C">
      <w:r>
        <w:t>|__|__|__|__|__| |__|__|__|__|__| |__|__|__|__|__|__|__|__|__|__|__| |__|__|</w:t>
      </w:r>
    </w:p>
    <w:p w:rsidR="00C7118C" w:rsidRDefault="00C7118C" w:rsidP="002565F1">
      <w:pPr>
        <w:pStyle w:val="ANXNIV1"/>
      </w:pPr>
      <w:r>
        <w:t>VARIATION DES PRIX :</w:t>
      </w:r>
      <w:r>
        <w:tab/>
      </w:r>
    </w:p>
    <w:p w:rsidR="00C7118C" w:rsidRDefault="00C7118C" w:rsidP="00C7118C">
      <w:r>
        <w:t>Modalités de variation des prix :</w:t>
      </w:r>
      <w:r>
        <w:tab/>
      </w:r>
    </w:p>
    <w:p w:rsidR="00C7118C" w:rsidRDefault="00C7118C" w:rsidP="00C7118C">
      <w:r>
        <w:t>Mois d'établissement des prix :</w:t>
      </w:r>
      <w:r>
        <w:tab/>
      </w:r>
    </w:p>
    <w:p w:rsidR="006018E7" w:rsidRPr="006018E7" w:rsidRDefault="00C7118C" w:rsidP="002565F1">
      <w:pPr>
        <w:pStyle w:val="ANXNIV1"/>
      </w:pPr>
      <w:r>
        <w:t>DECLARATION</w:t>
      </w:r>
    </w:p>
    <w:p w:rsidR="006018E7" w:rsidRPr="006018E7" w:rsidRDefault="006018E7" w:rsidP="00E76F6F">
      <w:pPr>
        <w:rPr>
          <w:lang w:eastAsia="fr-FR"/>
        </w:rPr>
      </w:pPr>
      <w:r w:rsidRPr="006018E7">
        <w:rPr>
          <w:lang w:eastAsia="fr-FR"/>
        </w:rPr>
        <w:t>Sous peine de retrait de plein droit de la présente acceptation, l'entreprise sous-traitante de rang 2 atteste ne pas tomber sous le coup de</w:t>
      </w:r>
      <w:r w:rsidR="00DA53C9">
        <w:rPr>
          <w:lang w:eastAsia="fr-FR"/>
        </w:rPr>
        <w:t>s</w:t>
      </w:r>
      <w:r w:rsidRPr="006018E7">
        <w:rPr>
          <w:lang w:eastAsia="fr-FR"/>
        </w:rPr>
        <w:t xml:space="preserve"> </w:t>
      </w:r>
      <w:r w:rsidR="00DA53C9">
        <w:rPr>
          <w:lang w:eastAsia="fr-FR"/>
        </w:rPr>
        <w:t xml:space="preserve">exclusions et </w:t>
      </w:r>
      <w:r w:rsidRPr="006018E7">
        <w:rPr>
          <w:lang w:eastAsia="fr-FR"/>
        </w:rPr>
        <w:t>interdiction</w:t>
      </w:r>
      <w:r w:rsidR="00DA53C9">
        <w:rPr>
          <w:lang w:eastAsia="fr-FR"/>
        </w:rPr>
        <w:t>s</w:t>
      </w:r>
      <w:r w:rsidRPr="006018E7">
        <w:rPr>
          <w:lang w:eastAsia="fr-FR"/>
        </w:rPr>
        <w:t xml:space="preserve"> découlant de l'article 14</w:t>
      </w:r>
      <w:r w:rsidR="00DA53C9">
        <w:rPr>
          <w:lang w:eastAsia="fr-FR"/>
        </w:rPr>
        <w:t>-3</w:t>
      </w:r>
      <w:r w:rsidRPr="006018E7">
        <w:rPr>
          <w:lang w:eastAsia="fr-FR"/>
        </w:rPr>
        <w:t xml:space="preserve"> de la </w:t>
      </w:r>
      <w:proofErr w:type="spellStart"/>
      <w:r w:rsidRPr="006018E7">
        <w:rPr>
          <w:lang w:eastAsia="fr-FR"/>
        </w:rPr>
        <w:t>délib</w:t>
      </w:r>
      <w:proofErr w:type="spellEnd"/>
      <w:r w:rsidR="00DA53C9">
        <w:rPr>
          <w:lang w:eastAsia="fr-FR"/>
        </w:rPr>
        <w:t>.</w:t>
      </w:r>
      <w:r w:rsidRPr="006018E7">
        <w:rPr>
          <w:lang w:eastAsia="fr-FR"/>
        </w:rPr>
        <w:t xml:space="preserve"> </w:t>
      </w:r>
      <w:proofErr w:type="gramStart"/>
      <w:r w:rsidRPr="006018E7">
        <w:rPr>
          <w:lang w:eastAsia="fr-FR"/>
        </w:rPr>
        <w:t>n</w:t>
      </w:r>
      <w:proofErr w:type="gramEnd"/>
      <w:r w:rsidRPr="006018E7">
        <w:rPr>
          <w:lang w:eastAsia="fr-FR"/>
        </w:rPr>
        <w:t xml:space="preserve">° </w:t>
      </w:r>
      <w:r w:rsidR="00DA53C9">
        <w:rPr>
          <w:lang w:eastAsia="fr-FR"/>
        </w:rPr>
        <w:t>424 du 20/3/19</w:t>
      </w:r>
      <w:r w:rsidRPr="006018E7">
        <w:rPr>
          <w:lang w:eastAsia="fr-FR"/>
        </w:rPr>
        <w:t>.</w:t>
      </w:r>
    </w:p>
    <w:p w:rsidR="00C7118C" w:rsidRDefault="00C7118C" w:rsidP="00E76F6F">
      <w:pPr>
        <w:rPr>
          <w:lang w:eastAsia="fr-FR"/>
        </w:rPr>
      </w:pPr>
    </w:p>
    <w:p w:rsidR="006018E7" w:rsidRPr="006018E7" w:rsidRDefault="006018E7" w:rsidP="00E76F6F">
      <w:pPr>
        <w:rPr>
          <w:lang w:eastAsia="fr-FR"/>
        </w:rPr>
      </w:pPr>
      <w:r w:rsidRPr="006018E7">
        <w:rPr>
          <w:lang w:eastAsia="fr-FR"/>
        </w:rPr>
        <w:t>Fait en un seul original, à ………………………</w:t>
      </w:r>
      <w:proofErr w:type="gramStart"/>
      <w:r w:rsidRPr="006018E7">
        <w:rPr>
          <w:lang w:eastAsia="fr-FR"/>
        </w:rPr>
        <w:t>… ,</w:t>
      </w:r>
      <w:proofErr w:type="gramEnd"/>
      <w:r w:rsidRPr="006018E7">
        <w:rPr>
          <w:lang w:eastAsia="fr-FR"/>
        </w:rPr>
        <w:t xml:space="preserve"> le ………………………….</w:t>
      </w:r>
    </w:p>
    <w:p w:rsidR="00C7118C" w:rsidRDefault="00C7118C" w:rsidP="00E76F6F">
      <w:pPr>
        <w:rPr>
          <w:lang w:eastAsia="fr-FR"/>
        </w:rPr>
      </w:pPr>
    </w:p>
    <w:p w:rsidR="00C7118C" w:rsidRDefault="00C7118C" w:rsidP="00C7118C">
      <w:pPr>
        <w:rPr>
          <w:lang w:eastAsia="fr-FR"/>
        </w:rPr>
      </w:pPr>
      <w:r>
        <w:rPr>
          <w:lang w:eastAsia="fr-FR"/>
        </w:rPr>
        <w:t>LE TITULAIRE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MANDATAIRE (**)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1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LE SOUS-TRAITANT DE RANG 2 (1)</w:t>
      </w: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p>
    <w:p w:rsidR="00C7118C" w:rsidRDefault="00C7118C" w:rsidP="00C7118C">
      <w:pPr>
        <w:rPr>
          <w:lang w:eastAsia="fr-FR"/>
        </w:rPr>
      </w:pPr>
      <w:r>
        <w:rPr>
          <w:lang w:eastAsia="fr-FR"/>
        </w:rPr>
        <w:t>(**) En cas de marché passé avec un groupement d’entreprises avec mandataire solidaire. Cf. article 2.42 du CCAG travaux (</w:t>
      </w:r>
      <w:proofErr w:type="spellStart"/>
      <w:r>
        <w:rPr>
          <w:lang w:eastAsia="fr-FR"/>
        </w:rPr>
        <w:t>délib</w:t>
      </w:r>
      <w:proofErr w:type="spellEnd"/>
      <w:r>
        <w:rPr>
          <w:lang w:eastAsia="fr-FR"/>
        </w:rPr>
        <w:t>.. 64/CP 10/05/89)</w:t>
      </w:r>
    </w:p>
    <w:p w:rsidR="00C7118C" w:rsidRDefault="00C7118C" w:rsidP="00C7118C">
      <w:pPr>
        <w:rPr>
          <w:lang w:eastAsia="fr-FR"/>
        </w:rPr>
      </w:pPr>
      <w:r>
        <w:rPr>
          <w:lang w:eastAsia="fr-FR"/>
        </w:rPr>
        <w:t>(1) Mention manuscrite "LU ET ACCEPTÉ", puis signature, suivie du nom en lettres capitales du signataire habilité à représenter l’entreprise.</w:t>
      </w:r>
    </w:p>
    <w:p w:rsidR="006018E7" w:rsidRPr="006018E7" w:rsidRDefault="006018E7" w:rsidP="002565F1">
      <w:pPr>
        <w:pStyle w:val="ANXNIV1"/>
      </w:pPr>
      <w:r w:rsidRPr="006018E7">
        <w:t>LISTE DES JUSTIFICATIFS FOURNIS :</w:t>
      </w:r>
    </w:p>
    <w:p w:rsidR="006018E7" w:rsidRPr="006018E7" w:rsidRDefault="00555941" w:rsidP="00E76F6F">
      <w:pPr>
        <w:rPr>
          <w:lang w:eastAsia="fr-FR"/>
        </w:rPr>
      </w:pPr>
      <w:sdt>
        <w:sdtPr>
          <w:rPr>
            <w:lang w:eastAsia="fr-FR"/>
          </w:rPr>
          <w:id w:val="139475946"/>
          <w14:checkbox>
            <w14:checked w14:val="0"/>
            <w14:checkedState w14:val="2612" w14:font="MS Gothic"/>
            <w14:uncheckedState w14:val="2610" w14:font="MS Gothic"/>
          </w14:checkbox>
        </w:sdtPr>
        <w:sdtEnd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1 –</w:t>
      </w:r>
      <w:r w:rsidR="006018E7" w:rsidRPr="006018E7">
        <w:rPr>
          <w:lang w:eastAsia="fr-FR"/>
        </w:rPr>
        <w:t xml:space="preserve"> Extrait K-bis datant de moins de 3 mois – pour le sous-traitant de rang 2</w:t>
      </w:r>
    </w:p>
    <w:p w:rsidR="006018E7" w:rsidRPr="006018E7" w:rsidRDefault="00555941" w:rsidP="00E76F6F">
      <w:pPr>
        <w:rPr>
          <w:lang w:eastAsia="fr-FR"/>
        </w:rPr>
      </w:pPr>
      <w:sdt>
        <w:sdtPr>
          <w:rPr>
            <w:lang w:eastAsia="fr-FR"/>
          </w:rPr>
          <w:id w:val="-909691024"/>
          <w14:checkbox>
            <w14:checked w14:val="0"/>
            <w14:checkedState w14:val="2612" w14:font="MS Gothic"/>
            <w14:uncheckedState w14:val="2610" w14:font="MS Gothic"/>
          </w14:checkbox>
        </w:sdtPr>
        <w:sdtEnd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2 –</w:t>
      </w:r>
      <w:r w:rsidR="006018E7" w:rsidRPr="006018E7">
        <w:rPr>
          <w:lang w:eastAsia="fr-FR"/>
        </w:rPr>
        <w:t xml:space="preserve"> Références concernant les prestations sous-traitées – pour le sous-traitant de rang 2</w:t>
      </w:r>
    </w:p>
    <w:p w:rsidR="006018E7" w:rsidRPr="006018E7" w:rsidRDefault="00555941" w:rsidP="00E76F6F">
      <w:pPr>
        <w:rPr>
          <w:lang w:eastAsia="fr-FR"/>
        </w:rPr>
      </w:pPr>
      <w:sdt>
        <w:sdtPr>
          <w:rPr>
            <w:lang w:eastAsia="fr-FR"/>
          </w:rPr>
          <w:id w:val="344901330"/>
          <w14:checkbox>
            <w14:checked w14:val="0"/>
            <w14:checkedState w14:val="2612" w14:font="MS Gothic"/>
            <w14:uncheckedState w14:val="2610" w14:font="MS Gothic"/>
          </w14:checkbox>
        </w:sdtPr>
        <w:sdtEnd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3 –</w:t>
      </w:r>
      <w:r w:rsidR="006018E7" w:rsidRPr="006018E7">
        <w:rPr>
          <w:lang w:eastAsia="fr-FR"/>
        </w:rPr>
        <w:t xml:space="preserve"> Trois certificats de situation fiscale (payeur, impôts, douanes) – pour le sous-traitant de rang 2</w:t>
      </w:r>
    </w:p>
    <w:p w:rsidR="006018E7" w:rsidRPr="006018E7" w:rsidRDefault="00555941" w:rsidP="00E76F6F">
      <w:pPr>
        <w:rPr>
          <w:lang w:eastAsia="fr-FR"/>
        </w:rPr>
      </w:pPr>
      <w:sdt>
        <w:sdtPr>
          <w:rPr>
            <w:lang w:eastAsia="fr-FR"/>
          </w:rPr>
          <w:id w:val="-561243219"/>
          <w14:checkbox>
            <w14:checked w14:val="0"/>
            <w14:checkedState w14:val="2612" w14:font="MS Gothic"/>
            <w14:uncheckedState w14:val="2610" w14:font="MS Gothic"/>
          </w14:checkbox>
        </w:sdtPr>
        <w:sdtEnd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4 –</w:t>
      </w:r>
      <w:r w:rsidR="006018E7" w:rsidRPr="006018E7">
        <w:rPr>
          <w:lang w:eastAsia="fr-FR"/>
        </w:rPr>
        <w:t xml:space="preserve"> Attestation CAFAT / RUAMM (la dernière exigible) – pour le sous-traitant de rang 2</w:t>
      </w:r>
    </w:p>
    <w:p w:rsidR="006018E7" w:rsidRPr="006018E7" w:rsidRDefault="00555941" w:rsidP="00E76F6F">
      <w:pPr>
        <w:rPr>
          <w:lang w:eastAsia="fr-FR"/>
        </w:rPr>
      </w:pPr>
      <w:sdt>
        <w:sdtPr>
          <w:rPr>
            <w:lang w:eastAsia="fr-FR"/>
          </w:rPr>
          <w:id w:val="39410125"/>
          <w14:checkbox>
            <w14:checked w14:val="0"/>
            <w14:checkedState w14:val="2612" w14:font="MS Gothic"/>
            <w14:uncheckedState w14:val="2610" w14:font="MS Gothic"/>
          </w14:checkbox>
        </w:sdtPr>
        <w:sdtEnd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5 –</w:t>
      </w:r>
      <w:r w:rsidR="006018E7" w:rsidRPr="006018E7">
        <w:rPr>
          <w:lang w:eastAsia="fr-FR"/>
        </w:rPr>
        <w:t xml:space="preserve"> Attestation d'assurance en cours de validité – pour le sous-traitant de rang 2</w:t>
      </w:r>
    </w:p>
    <w:p w:rsidR="006018E7" w:rsidRPr="006018E7" w:rsidRDefault="00555941" w:rsidP="00E76F6F">
      <w:pPr>
        <w:rPr>
          <w:lang w:eastAsia="fr-FR"/>
        </w:rPr>
      </w:pPr>
      <w:sdt>
        <w:sdtPr>
          <w:rPr>
            <w:lang w:eastAsia="fr-FR"/>
          </w:rPr>
          <w:id w:val="1536615045"/>
          <w14:checkbox>
            <w14:checked w14:val="0"/>
            <w14:checkedState w14:val="2612" w14:font="MS Gothic"/>
            <w14:uncheckedState w14:val="2610" w14:font="MS Gothic"/>
          </w14:checkbox>
        </w:sdtPr>
        <w:sdtEnd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6 –</w:t>
      </w:r>
      <w:r w:rsidR="006018E7" w:rsidRPr="006018E7">
        <w:rPr>
          <w:lang w:eastAsia="fr-FR"/>
        </w:rPr>
        <w:t xml:space="preserve"> Relevé d’identité bancaire – pour le sous-traitant de rang 2</w:t>
      </w:r>
    </w:p>
    <w:p w:rsidR="006018E7" w:rsidRPr="006018E7" w:rsidRDefault="00555941" w:rsidP="00E76F6F">
      <w:pPr>
        <w:rPr>
          <w:lang w:eastAsia="fr-FR"/>
        </w:rPr>
      </w:pPr>
      <w:sdt>
        <w:sdtPr>
          <w:rPr>
            <w:lang w:eastAsia="fr-FR"/>
          </w:rPr>
          <w:id w:val="2045326446"/>
          <w14:checkbox>
            <w14:checked w14:val="0"/>
            <w14:checkedState w14:val="2612" w14:font="MS Gothic"/>
            <w14:uncheckedState w14:val="2610" w14:font="MS Gothic"/>
          </w14:checkbox>
        </w:sdtPr>
        <w:sdtEnd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7 –</w:t>
      </w:r>
      <w:r w:rsidR="006018E7" w:rsidRPr="006018E7">
        <w:rPr>
          <w:lang w:eastAsia="fr-FR"/>
        </w:rPr>
        <w:t xml:space="preserve"> Exemplaire unique du marché, de l’acte spécial ou de l’avenant, destiné à la cession ou au nantissement, délivré antérieurement</w:t>
      </w:r>
      <w:r w:rsidR="006018E7" w:rsidRPr="006018E7">
        <w:rPr>
          <w:b/>
          <w:lang w:eastAsia="fr-FR"/>
        </w:rPr>
        <w:t xml:space="preserve"> au sous-traitant de rang 1</w:t>
      </w:r>
      <w:r w:rsidR="006018E7" w:rsidRPr="006018E7">
        <w:rPr>
          <w:lang w:eastAsia="fr-FR"/>
        </w:rPr>
        <w:t>, ou en cas d’impossibilité de le restituer, attestation du bénéficiaire de la cession ou du nantissement démontrant qu’il n’y a pas d’obstacle au paiement direct de la partie sous-traitée. Ou attestation signée de perte, ou encore de non demande et de non réception de l’exemplaire unique.</w:t>
      </w:r>
    </w:p>
    <w:p w:rsidR="006018E7" w:rsidRPr="006018E7" w:rsidRDefault="00555941" w:rsidP="00E76F6F">
      <w:pPr>
        <w:rPr>
          <w:lang w:eastAsia="fr-FR"/>
        </w:rPr>
      </w:pPr>
      <w:sdt>
        <w:sdtPr>
          <w:rPr>
            <w:lang w:eastAsia="fr-FR"/>
          </w:rPr>
          <w:id w:val="-1093626456"/>
          <w14:checkbox>
            <w14:checked w14:val="0"/>
            <w14:checkedState w14:val="2612" w14:font="MS Gothic"/>
            <w14:uncheckedState w14:val="2610" w14:font="MS Gothic"/>
          </w14:checkbox>
        </w:sdtPr>
        <w:sdtEndPr/>
        <w:sdtContent>
          <w:r w:rsidR="006018E7" w:rsidRPr="006018E7">
            <w:rPr>
              <w:rFonts w:eastAsia="MS Gothic" w:hint="eastAsia"/>
              <w:lang w:eastAsia="fr-FR"/>
            </w:rPr>
            <w:t>☐</w:t>
          </w:r>
        </w:sdtContent>
      </w:sdt>
      <w:r w:rsidR="006018E7" w:rsidRPr="006018E7">
        <w:rPr>
          <w:b/>
          <w:sz w:val="10"/>
          <w:lang w:eastAsia="fr-FR"/>
        </w:rPr>
        <w:t xml:space="preserve"> </w:t>
      </w:r>
      <w:r w:rsidR="006018E7" w:rsidRPr="006018E7">
        <w:rPr>
          <w:b/>
          <w:lang w:eastAsia="fr-FR"/>
        </w:rPr>
        <w:t>8 –</w:t>
      </w:r>
      <w:r w:rsidR="006018E7" w:rsidRPr="006018E7">
        <w:rPr>
          <w:lang w:eastAsia="fr-FR"/>
        </w:rPr>
        <w:t xml:space="preserve"> (En cas d’acte spécial modificatif) Exemplaire unique de l’acte spécial ou de l’avenant, destiné à la cession ou au nantissement, délivré antérieurement </w:t>
      </w:r>
      <w:r w:rsidR="006018E7" w:rsidRPr="006018E7">
        <w:rPr>
          <w:b/>
          <w:lang w:eastAsia="fr-FR"/>
        </w:rPr>
        <w:t>au sous-traitant de rang 2</w:t>
      </w:r>
      <w:r w:rsidR="006018E7" w:rsidRPr="006018E7">
        <w:rPr>
          <w:lang w:eastAsia="fr-FR"/>
        </w:rPr>
        <w:t>, ou en cas d’impossibilité de le restituer, attestation du bénéficiaire démontrant qu’il n’y a pas d’obstacle à la modification du montant sous-traité. Ou attestation signée de perte, ou encore de non demande et de non réception de l’exemplaire unique.</w:t>
      </w:r>
    </w:p>
    <w:p w:rsidR="00C7118C" w:rsidRDefault="00C7118C" w:rsidP="002565F1">
      <w:pPr>
        <w:pStyle w:val="ANXNIV1"/>
      </w:pPr>
      <w:r>
        <w:t xml:space="preserve">DECISION </w:t>
      </w:r>
      <w:r w:rsidR="00A87C22">
        <w:t>DE L’ACHETEUR PUBLIC</w:t>
      </w:r>
    </w:p>
    <w:p w:rsidR="006018E7" w:rsidRPr="006018E7" w:rsidRDefault="00A87C22" w:rsidP="00E76F6F">
      <w:pPr>
        <w:rPr>
          <w:szCs w:val="20"/>
          <w:lang w:eastAsia="fr-FR"/>
        </w:rPr>
      </w:pPr>
      <w:r>
        <w:rPr>
          <w:lang w:eastAsia="fr-FR"/>
        </w:rPr>
        <w:t>L’ACHETEUR PUBLIC</w:t>
      </w:r>
      <w:r w:rsidR="00C7118C" w:rsidRPr="005B569A">
        <w:rPr>
          <w:lang w:eastAsia="fr-FR"/>
        </w:rPr>
        <w:t xml:space="preserve"> ACCEPTE </w:t>
      </w:r>
      <w:r w:rsidR="00C7118C">
        <w:rPr>
          <w:lang w:eastAsia="fr-FR"/>
        </w:rPr>
        <w:t xml:space="preserve">LE </w:t>
      </w:r>
      <w:r w:rsidR="00DA53C9" w:rsidRPr="006018E7">
        <w:rPr>
          <w:lang w:eastAsia="fr-FR"/>
        </w:rPr>
        <w:t xml:space="preserve">SOUS-TRAITANT DE RANG 2 ET </w:t>
      </w:r>
      <w:r w:rsidR="00C7118C">
        <w:rPr>
          <w:lang w:eastAsia="fr-FR"/>
        </w:rPr>
        <w:t>L</w:t>
      </w:r>
      <w:r w:rsidR="00DA53C9" w:rsidRPr="006018E7">
        <w:rPr>
          <w:lang w:eastAsia="fr-FR"/>
        </w:rPr>
        <w:t>ES CONDITIONS DE PAIEMENT</w:t>
      </w:r>
    </w:p>
    <w:p w:rsidR="006018E7" w:rsidRPr="006018E7" w:rsidRDefault="006018E7" w:rsidP="00E76F6F">
      <w:pPr>
        <w:rPr>
          <w:lang w:eastAsia="fr-FR"/>
        </w:rPr>
      </w:pPr>
    </w:p>
    <w:p w:rsidR="006018E7" w:rsidRPr="006018E7" w:rsidRDefault="006018E7" w:rsidP="00E76F6F">
      <w:pPr>
        <w:rPr>
          <w:lang w:eastAsia="fr-FR"/>
        </w:rPr>
      </w:pPr>
    </w:p>
    <w:p w:rsidR="006018E7" w:rsidRPr="006018E7" w:rsidRDefault="006018E7" w:rsidP="00E76F6F">
      <w:pPr>
        <w:rPr>
          <w:lang w:eastAsia="fr-FR"/>
        </w:rPr>
      </w:pPr>
      <w:r w:rsidRPr="006018E7">
        <w:rPr>
          <w:lang w:eastAsia="fr-FR"/>
        </w:rPr>
        <w:t xml:space="preserve">Le représentant </w:t>
      </w:r>
      <w:r w:rsidR="00A87C22">
        <w:rPr>
          <w:lang w:eastAsia="fr-FR"/>
        </w:rPr>
        <w:t>de l’acheteur public</w:t>
      </w:r>
      <w:r w:rsidRPr="006018E7">
        <w:rPr>
          <w:lang w:eastAsia="fr-FR"/>
        </w:rPr>
        <w:t>,</w:t>
      </w:r>
      <w:r w:rsidR="00C7118C">
        <w:rPr>
          <w:lang w:eastAsia="fr-FR"/>
        </w:rPr>
        <w:t xml:space="preserve"> </w:t>
      </w:r>
      <w:r w:rsidRPr="006018E7">
        <w:rPr>
          <w:lang w:eastAsia="fr-FR"/>
        </w:rPr>
        <w:t>compétent pour signer le marché public</w:t>
      </w:r>
      <w:r w:rsidRPr="006018E7">
        <w:rPr>
          <w:lang w:eastAsia="fr-FR"/>
        </w:rPr>
        <w:tab/>
      </w:r>
      <w:r w:rsidRPr="006018E7">
        <w:rPr>
          <w:lang w:eastAsia="fr-FR"/>
        </w:rPr>
        <w:tab/>
      </w:r>
    </w:p>
    <w:p w:rsidR="006018E7" w:rsidRPr="006018E7" w:rsidRDefault="006018E7" w:rsidP="002565F1">
      <w:pPr>
        <w:pStyle w:val="ANXNIV1"/>
      </w:pPr>
      <w:r w:rsidRPr="006018E7">
        <w:t>NOTIFICATION AU SOUS-TRAITANT DE RANG 1</w:t>
      </w:r>
    </w:p>
    <w:p w:rsidR="00C7118C" w:rsidRDefault="00C7118C" w:rsidP="00E76F6F">
      <w:pPr>
        <w:rPr>
          <w:lang w:eastAsia="fr-FR"/>
        </w:rPr>
      </w:pPr>
      <w:r>
        <w:rPr>
          <w:lang w:eastAsia="fr-FR"/>
        </w:rPr>
        <w:t>Reçu :</w:t>
      </w:r>
    </w:p>
    <w:p w:rsidR="006018E7" w:rsidRPr="006018E7" w:rsidRDefault="006018E7" w:rsidP="00E76F6F">
      <w:pPr>
        <w:rPr>
          <w:lang w:eastAsia="fr-FR"/>
        </w:rPr>
      </w:pPr>
      <w:r w:rsidRPr="006018E7">
        <w:rPr>
          <w:lang w:eastAsia="fr-FR"/>
        </w:rPr>
        <w:t>- un exemplaire du présent acte spécial,</w:t>
      </w:r>
    </w:p>
    <w:p w:rsidR="006018E7" w:rsidRPr="006018E7" w:rsidRDefault="006018E7" w:rsidP="00E76F6F">
      <w:pPr>
        <w:rPr>
          <w:lang w:eastAsia="fr-FR"/>
        </w:rPr>
      </w:pPr>
      <w:r w:rsidRPr="006018E7">
        <w:rPr>
          <w:lang w:eastAsia="fr-FR"/>
        </w:rPr>
        <w:t xml:space="preserve">- le nouvel exemplaire unique du marché, de l’acte spécial ou du dernier avenant revêtu de la mention prévue à l’article 97 de la délibération n° </w:t>
      </w:r>
      <w:r w:rsidR="00DA53C9">
        <w:rPr>
          <w:lang w:eastAsia="fr-FR"/>
        </w:rPr>
        <w:t>424</w:t>
      </w:r>
      <w:r w:rsidRPr="006018E7">
        <w:rPr>
          <w:lang w:eastAsia="fr-FR"/>
        </w:rPr>
        <w:t xml:space="preserve"> du </w:t>
      </w:r>
      <w:r w:rsidR="00DA53C9">
        <w:rPr>
          <w:lang w:eastAsia="fr-FR"/>
        </w:rPr>
        <w:t>20</w:t>
      </w:r>
      <w:r w:rsidRPr="006018E7">
        <w:rPr>
          <w:lang w:eastAsia="fr-FR"/>
        </w:rPr>
        <w:t xml:space="preserve"> mars </w:t>
      </w:r>
      <w:r w:rsidR="00DA53C9">
        <w:rPr>
          <w:lang w:eastAsia="fr-FR"/>
        </w:rPr>
        <w:t>2019</w:t>
      </w:r>
      <w:r w:rsidRPr="006018E7">
        <w:rPr>
          <w:lang w:eastAsia="fr-FR"/>
        </w:rPr>
        <w:t>.</w:t>
      </w:r>
    </w:p>
    <w:p w:rsidR="00C7118C" w:rsidRPr="00C7118C" w:rsidRDefault="00C7118C" w:rsidP="00E76F6F">
      <w:pPr>
        <w:rPr>
          <w:lang w:eastAsia="fr-FR"/>
        </w:rPr>
      </w:pPr>
      <w:r w:rsidRPr="00C7118C">
        <w:rPr>
          <w:lang w:eastAsia="fr-FR"/>
        </w:rPr>
        <w:t>Date : …………………….</w:t>
      </w:r>
    </w:p>
    <w:p w:rsidR="006018E7" w:rsidRPr="006018E7" w:rsidRDefault="006018E7" w:rsidP="00E76F6F">
      <w:pPr>
        <w:rPr>
          <w:lang w:eastAsia="fr-FR"/>
        </w:rPr>
      </w:pPr>
      <w:r w:rsidRPr="006018E7">
        <w:rPr>
          <w:lang w:eastAsia="fr-FR"/>
        </w:rPr>
        <w:t>- Signature suivie du nom du signataire habilité à représenter l’entreprise sous-traitante de rang 1</w:t>
      </w:r>
    </w:p>
    <w:p w:rsidR="00DA53C9" w:rsidRDefault="00DA53C9" w:rsidP="00E76F6F">
      <w:pPr>
        <w:rPr>
          <w:sz w:val="16"/>
          <w:szCs w:val="16"/>
          <w:lang w:eastAsia="fr-FR"/>
        </w:rPr>
      </w:pPr>
    </w:p>
    <w:p w:rsidR="00C7118C" w:rsidRDefault="00C7118C" w:rsidP="00E76F6F">
      <w:pPr>
        <w:rPr>
          <w:sz w:val="16"/>
          <w:szCs w:val="16"/>
          <w:lang w:eastAsia="fr-FR"/>
        </w:rPr>
      </w:pPr>
    </w:p>
    <w:p w:rsidR="00C7118C" w:rsidRDefault="00C7118C" w:rsidP="00E76F6F">
      <w:pPr>
        <w:rPr>
          <w:sz w:val="16"/>
          <w:szCs w:val="16"/>
          <w:lang w:eastAsia="fr-FR"/>
        </w:rPr>
      </w:pPr>
    </w:p>
    <w:p w:rsidR="00DA53C9" w:rsidRDefault="00C7118C" w:rsidP="00E76F6F">
      <w:pPr>
        <w:rPr>
          <w:lang w:eastAsia="fr-FR"/>
        </w:rPr>
      </w:pPr>
      <w:r w:rsidRPr="006018E7">
        <w:rPr>
          <w:noProof/>
          <w:lang w:eastAsia="fr-FR"/>
        </w:rPr>
        <mc:AlternateContent>
          <mc:Choice Requires="wps">
            <w:drawing>
              <wp:anchor distT="0" distB="0" distL="114300" distR="114300" simplePos="0" relativeHeight="251660288" behindDoc="0" locked="0" layoutInCell="1" allowOverlap="1" wp14:anchorId="286668C9" wp14:editId="7BCEB577">
                <wp:simplePos x="0" y="0"/>
                <wp:positionH relativeFrom="column">
                  <wp:posOffset>426720</wp:posOffset>
                </wp:positionH>
                <wp:positionV relativeFrom="paragraph">
                  <wp:posOffset>240665</wp:posOffset>
                </wp:positionV>
                <wp:extent cx="5924550" cy="83820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5924550" cy="838200"/>
                        </a:xfrm>
                        <a:prstGeom prst="rect">
                          <a:avLst/>
                        </a:prstGeom>
                        <a:noFill/>
                        <a:ln w="3175" cap="flat" cmpd="sng" algn="ctr">
                          <a:solidFill>
                            <a:sysClr val="window" lastClr="FFFFFF">
                              <a:lumMod val="75000"/>
                            </a:sysClr>
                          </a:solidFill>
                          <a:prstDash val="dash"/>
                        </a:ln>
                        <a:effectLst/>
                      </wps:spPr>
                      <wps:txbx>
                        <w:txbxContent>
                          <w:p w:rsidR="000171CB" w:rsidRPr="00425E48" w:rsidRDefault="000171CB" w:rsidP="00C7118C">
                            <w:pPr>
                              <w:ind w:left="0"/>
                            </w:pPr>
                            <w:r w:rsidRPr="00425E48">
                              <w:t>Espace réservé pour le rendu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6pt;margin-top:18.95pt;width:466.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" filled="f" strokecolor="#bfbfbf" strokeweight=".25pt">
                <v:stroke dashstyle="dash"/>
                <v:textbox inset="1mm,.5mm,1mm,1mm">
                  <w:txbxContent>
                    <w:p w:rsidR="000171CB" w:rsidRPr="00425E48" w:rsidRDefault="000171CB" w:rsidP="00C7118C">
                      <w:pPr>
                        <w:ind w:left="0"/>
                      </w:pPr>
                      <w:r w:rsidRPr="00425E48">
                        <w:t>Espace réservé pour le rendu exécutoire</w:t>
                      </w:r>
                    </w:p>
                  </w:txbxContent>
                </v:textbox>
                <w10:wrap type="topAndBottom"/>
              </v:rect>
            </w:pict>
          </mc:Fallback>
        </mc:AlternateContent>
      </w:r>
    </w:p>
    <w:p w:rsidR="00DA53C9" w:rsidRDefault="00DA53C9" w:rsidP="00E76F6F">
      <w:pPr>
        <w:rPr>
          <w:lang w:eastAsia="fr-FR"/>
        </w:rPr>
      </w:pPr>
    </w:p>
    <w:p w:rsidR="006018E7" w:rsidRDefault="006018E7" w:rsidP="00E76F6F">
      <w:pPr>
        <w:rPr>
          <w:lang w:eastAsia="fr-FR"/>
        </w:rPr>
      </w:pPr>
      <w:r w:rsidRPr="00DA53C9">
        <w:rPr>
          <w:lang w:eastAsia="fr-FR"/>
        </w:rPr>
        <w:t xml:space="preserve">Nota : copie de cet acte spécial en exemplaire unique destiné à la cession ou au nantissement, revêtu de la mention prévue à l’article 97 de la </w:t>
      </w:r>
      <w:proofErr w:type="spellStart"/>
      <w:r w:rsidRPr="00DA53C9">
        <w:rPr>
          <w:lang w:eastAsia="fr-FR"/>
        </w:rPr>
        <w:t>délib</w:t>
      </w:r>
      <w:proofErr w:type="spellEnd"/>
      <w:r w:rsidR="00DA53C9">
        <w:rPr>
          <w:lang w:eastAsia="fr-FR"/>
        </w:rPr>
        <w:t>.</w:t>
      </w:r>
      <w:r w:rsidRPr="00DA53C9">
        <w:rPr>
          <w:lang w:eastAsia="fr-FR"/>
        </w:rPr>
        <w:t xml:space="preserve"> </w:t>
      </w:r>
      <w:r w:rsidR="00DA53C9" w:rsidRPr="00DA53C9">
        <w:rPr>
          <w:lang w:eastAsia="fr-FR"/>
        </w:rPr>
        <w:t>424</w:t>
      </w:r>
      <w:r w:rsidRPr="00DA53C9">
        <w:rPr>
          <w:lang w:eastAsia="fr-FR"/>
        </w:rPr>
        <w:t xml:space="preserve"> du </w:t>
      </w:r>
      <w:r w:rsidR="00DA53C9" w:rsidRPr="00DA53C9">
        <w:rPr>
          <w:lang w:eastAsia="fr-FR"/>
        </w:rPr>
        <w:t>20</w:t>
      </w:r>
      <w:r w:rsidRPr="00DA53C9">
        <w:rPr>
          <w:lang w:eastAsia="fr-FR"/>
        </w:rPr>
        <w:t>/03</w:t>
      </w:r>
      <w:r w:rsidR="00DA53C9" w:rsidRPr="00DA53C9">
        <w:rPr>
          <w:lang w:eastAsia="fr-FR"/>
        </w:rPr>
        <w:t>/19</w:t>
      </w:r>
      <w:r w:rsidR="00DA53C9">
        <w:rPr>
          <w:lang w:eastAsia="fr-FR"/>
        </w:rPr>
        <w:t xml:space="preserve"> sera délivrée </w:t>
      </w:r>
      <w:r w:rsidRPr="00DA53C9">
        <w:rPr>
          <w:lang w:eastAsia="fr-FR"/>
        </w:rPr>
        <w:t xml:space="preserve">au sous-traitant </w:t>
      </w:r>
      <w:r w:rsidR="00DA53C9" w:rsidRPr="00DA53C9">
        <w:rPr>
          <w:lang w:eastAsia="fr-FR"/>
        </w:rPr>
        <w:t xml:space="preserve">de rang 2 </w:t>
      </w:r>
      <w:r w:rsidRPr="00DA53C9">
        <w:rPr>
          <w:lang w:eastAsia="fr-FR"/>
        </w:rPr>
        <w:t>à sa demande.</w:t>
      </w:r>
    </w:p>
    <w:p w:rsidR="00DA53C9" w:rsidRDefault="00DA53C9" w:rsidP="00E76F6F">
      <w:pPr>
        <w:rPr>
          <w:lang w:eastAsia="fr-FR"/>
        </w:rPr>
        <w:sectPr w:rsidR="00DA53C9" w:rsidSect="00C7118C">
          <w:footerReference w:type="default" r:id="rId21"/>
          <w:headerReference w:type="first" r:id="rId22"/>
          <w:footerReference w:type="first" r:id="rId23"/>
          <w:pgSz w:w="11906" w:h="16838"/>
          <w:pgMar w:top="709" w:right="991" w:bottom="993" w:left="993" w:header="284" w:footer="266" w:gutter="0"/>
          <w:pgNumType w:start="1"/>
          <w:cols w:space="708"/>
          <w:docGrid w:linePitch="360"/>
        </w:sectPr>
      </w:pPr>
    </w:p>
    <w:p w:rsidR="005F11D2" w:rsidRDefault="005F11D2" w:rsidP="005F11D2">
      <w:pPr>
        <w:pStyle w:val="0ENTETE"/>
      </w:pPr>
      <w:bookmarkStart w:id="155" w:name="_Toc60319580"/>
      <w:r>
        <w:t>ANNEXE 3 AU CCAP : EXEMPLE DE MODELE COMPLET DE DECOMPTE ET D’ETAT D’ACOMPTE</w:t>
      </w:r>
      <w:bookmarkEnd w:id="155"/>
    </w:p>
    <w:p w:rsidR="005F11D2" w:rsidRDefault="005F11D2" w:rsidP="00E76F6F">
      <w:pPr>
        <w:rPr>
          <w:lang w:eastAsia="fr-FR"/>
        </w:rPr>
        <w:sectPr w:rsidR="005F11D2" w:rsidSect="00DA53C9">
          <w:headerReference w:type="first" r:id="rId24"/>
          <w:footerReference w:type="first" r:id="rId25"/>
          <w:pgSz w:w="11906" w:h="16838"/>
          <w:pgMar w:top="709" w:right="991" w:bottom="993" w:left="993" w:header="284" w:footer="266" w:gutter="0"/>
          <w:pgNumType w:start="1"/>
          <w:cols w:space="708"/>
          <w:titlePg/>
          <w:docGrid w:linePitch="360"/>
        </w:sectPr>
      </w:pPr>
    </w:p>
    <w:p w:rsidR="00DA53C9" w:rsidRDefault="005F11D2" w:rsidP="005F11D2">
      <w:pPr>
        <w:ind w:left="0"/>
        <w:rPr>
          <w:lang w:eastAsia="fr-FR"/>
        </w:rPr>
      </w:pPr>
      <w:r>
        <w:rPr>
          <w:noProof/>
          <w:lang w:eastAsia="fr-FR"/>
        </w:rPr>
        <w:drawing>
          <wp:inline distT="0" distB="0" distL="0" distR="0" wp14:anchorId="44149D40" wp14:editId="65E18660">
            <wp:extent cx="6300470" cy="89115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4E65EF" w:rsidP="005F11D2">
      <w:pPr>
        <w:ind w:left="0"/>
        <w:rPr>
          <w:lang w:eastAsia="fr-FR"/>
        </w:rPr>
      </w:pPr>
      <w:r>
        <w:rPr>
          <w:noProof/>
          <w:lang w:eastAsia="fr-FR"/>
        </w:rPr>
        <w:drawing>
          <wp:inline distT="0" distB="0" distL="0" distR="0" wp14:anchorId="17ED00D2" wp14:editId="7A4539FF">
            <wp:extent cx="6300470" cy="8911590"/>
            <wp:effectExtent l="0" t="0" r="508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4CCEF74D" wp14:editId="3AF234FE">
            <wp:extent cx="6300470" cy="8911590"/>
            <wp:effectExtent l="0" t="0" r="508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78E7BCF3" wp14:editId="6D48BDD2">
            <wp:extent cx="6300470" cy="8911590"/>
            <wp:effectExtent l="0" t="0" r="508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1AA711C2" wp14:editId="16610BAE">
            <wp:extent cx="6300470" cy="8911590"/>
            <wp:effectExtent l="0" t="0" r="508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2409E1A3" wp14:editId="2A21F25F">
            <wp:extent cx="6300470" cy="8911590"/>
            <wp:effectExtent l="0" t="0" r="508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735BFD47" wp14:editId="2B1073AC">
            <wp:extent cx="6300470" cy="8911590"/>
            <wp:effectExtent l="0" t="0" r="508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31325019" wp14:editId="723794EA">
            <wp:extent cx="6300470" cy="8911590"/>
            <wp:effectExtent l="0" t="0" r="508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pPr>
      <w:r>
        <w:rPr>
          <w:lang w:eastAsia="fr-FR"/>
        </w:rPr>
        <w:br w:type="page"/>
      </w:r>
    </w:p>
    <w:p w:rsidR="005F11D2" w:rsidRDefault="005F11D2" w:rsidP="005F11D2">
      <w:pPr>
        <w:ind w:left="0"/>
        <w:rPr>
          <w:lang w:eastAsia="fr-FR"/>
        </w:rPr>
      </w:pPr>
      <w:r>
        <w:rPr>
          <w:noProof/>
          <w:lang w:eastAsia="fr-FR"/>
        </w:rPr>
        <w:drawing>
          <wp:inline distT="0" distB="0" distL="0" distR="0" wp14:anchorId="5958B9EF" wp14:editId="3BE1F970">
            <wp:extent cx="6300470" cy="8911590"/>
            <wp:effectExtent l="0" t="0" r="508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00470" cy="8911590"/>
                    </a:xfrm>
                    <a:prstGeom prst="rect">
                      <a:avLst/>
                    </a:prstGeom>
                  </pic:spPr>
                </pic:pic>
              </a:graphicData>
            </a:graphic>
          </wp:inline>
        </w:drawing>
      </w:r>
    </w:p>
    <w:p w:rsidR="005F11D2" w:rsidRDefault="005F11D2" w:rsidP="005F11D2">
      <w:pPr>
        <w:ind w:left="0"/>
        <w:rPr>
          <w:lang w:eastAsia="fr-FR"/>
        </w:rPr>
        <w:sectPr w:rsidR="005F11D2" w:rsidSect="00201BC5">
          <w:footerReference w:type="default" r:id="rId35"/>
          <w:pgSz w:w="11906" w:h="16838"/>
          <w:pgMar w:top="709" w:right="991" w:bottom="993" w:left="993" w:header="284" w:footer="426" w:gutter="0"/>
          <w:pgNumType w:start="1"/>
          <w:cols w:space="708"/>
          <w:docGrid w:linePitch="360"/>
        </w:sectPr>
      </w:pPr>
    </w:p>
    <w:p w:rsidR="005F11D2" w:rsidRDefault="005F11D2" w:rsidP="005F11D2">
      <w:pPr>
        <w:pStyle w:val="0ENTETE"/>
      </w:pPr>
      <w:bookmarkStart w:id="156" w:name="_Toc60319581"/>
      <w:r>
        <w:t>ANNEXE 4 AU CCAP : MODELE DE CAUTION PERSONNELLE ET SOLIDAIRE A PRESENTER EN CONTREPARTIE D’UNE AVANCE</w:t>
      </w:r>
      <w:bookmarkEnd w:id="156"/>
    </w:p>
    <w:p w:rsidR="005F11D2" w:rsidRDefault="005F11D2" w:rsidP="005F11D2">
      <w:pPr>
        <w:rPr>
          <w:lang w:eastAsia="fr-FR"/>
        </w:rPr>
        <w:sectPr w:rsidR="005F11D2" w:rsidSect="00DA53C9">
          <w:headerReference w:type="first" r:id="rId36"/>
          <w:footerReference w:type="first" r:id="rId37"/>
          <w:pgSz w:w="11906" w:h="16838"/>
          <w:pgMar w:top="709" w:right="991" w:bottom="993" w:left="993" w:header="284" w:footer="266" w:gutter="0"/>
          <w:pgNumType w:start="1"/>
          <w:cols w:space="708"/>
          <w:titlePg/>
          <w:docGrid w:linePitch="360"/>
        </w:sectPr>
      </w:pPr>
    </w:p>
    <w:p w:rsidR="005F11D2" w:rsidRPr="0095313D" w:rsidRDefault="005F11D2" w:rsidP="002565F1">
      <w:pPr>
        <w:pStyle w:val="ANXNIV0"/>
      </w:pPr>
      <w:r w:rsidRPr="0095313D">
        <w:t>CAUTION PERSONNELLE ET SOLIDAIRE</w:t>
      </w:r>
    </w:p>
    <w:p w:rsidR="005F11D2" w:rsidRPr="0095313D" w:rsidRDefault="005F11D2" w:rsidP="005F11D2">
      <w:r w:rsidRPr="0095313D">
        <w:t>Destinée à garantir le remboursement d’une avance conformément à l’article 81 de la délibération modifiée n° 424 du 20 mars 2019 réglementant les marchés publics.</w:t>
      </w:r>
    </w:p>
    <w:p w:rsidR="005F11D2" w:rsidRPr="0095313D" w:rsidRDefault="005F11D2" w:rsidP="002565F1">
      <w:pPr>
        <w:pStyle w:val="ANXNIV1"/>
      </w:pPr>
      <w:r>
        <w:t>A-Identification</w:t>
      </w:r>
    </w:p>
    <w:p w:rsidR="005F11D2" w:rsidRPr="0095313D" w:rsidRDefault="005F11D2" w:rsidP="002565F1">
      <w:pPr>
        <w:pStyle w:val="ANXNIV3"/>
      </w:pPr>
      <w:r w:rsidRPr="0095313D">
        <w:t>Personne publique qui passe le marché :</w:t>
      </w:r>
    </w:p>
    <w:p w:rsidR="005F11D2" w:rsidRPr="0095313D" w:rsidRDefault="005F11D2" w:rsidP="005F11D2">
      <w:pPr>
        <w:pStyle w:val="Listenormale"/>
      </w:pPr>
      <w:r w:rsidRPr="0095313D">
        <w:t>Nom</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Titulaire du marché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 xml:space="preserve">Organisme apportant </w:t>
      </w:r>
      <w:r>
        <w:t xml:space="preserve">la </w:t>
      </w:r>
      <w:r w:rsidRPr="0095313D">
        <w:t>caution :</w:t>
      </w:r>
    </w:p>
    <w:p w:rsidR="005F11D2" w:rsidRPr="0095313D" w:rsidRDefault="005F11D2" w:rsidP="005F11D2">
      <w:pPr>
        <w:pStyle w:val="Listenormale"/>
      </w:pPr>
      <w:r w:rsidRPr="0095313D">
        <w:t>Nom, raison ou dénomination sociale</w:t>
      </w:r>
      <w:r>
        <w:t xml:space="preserve"> : </w:t>
      </w:r>
      <w:r w:rsidRPr="0095313D">
        <w:t>……………….……………………………….</w:t>
      </w:r>
    </w:p>
    <w:p w:rsidR="005F11D2" w:rsidRPr="0095313D" w:rsidRDefault="005F11D2" w:rsidP="005F11D2">
      <w:pPr>
        <w:pStyle w:val="Listenormale"/>
      </w:pPr>
      <w:r w:rsidRPr="0095313D">
        <w:t>Adresse</w:t>
      </w:r>
      <w:r>
        <w:t xml:space="preserve"> : </w:t>
      </w:r>
      <w:r w:rsidRPr="0095313D">
        <w:t>……………………………………………………………...………………..</w:t>
      </w:r>
    </w:p>
    <w:p w:rsidR="005F11D2" w:rsidRPr="0095313D" w:rsidRDefault="005F11D2" w:rsidP="002565F1">
      <w:pPr>
        <w:pStyle w:val="ANXNIV3"/>
      </w:pPr>
      <w:r w:rsidRPr="0095313D">
        <w:t>Marché</w:t>
      </w:r>
      <w:r>
        <w:t xml:space="preserve"> </w:t>
      </w:r>
      <w:r w:rsidRPr="0095313D">
        <w:t>:</w:t>
      </w:r>
    </w:p>
    <w:p w:rsidR="005F11D2" w:rsidRPr="0095313D" w:rsidRDefault="005F11D2" w:rsidP="005F11D2">
      <w:pPr>
        <w:pStyle w:val="Listenormale"/>
      </w:pPr>
      <w:r w:rsidRPr="0095313D">
        <w:t>Objet</w:t>
      </w:r>
      <w:r>
        <w:t xml:space="preserve"> : </w:t>
      </w:r>
      <w:r w:rsidRPr="0095313D">
        <w:t>…………………………………………………………………………………</w:t>
      </w:r>
    </w:p>
    <w:p w:rsidR="005F11D2" w:rsidRPr="0095313D" w:rsidRDefault="005F11D2" w:rsidP="005F11D2">
      <w:pPr>
        <w:pStyle w:val="Listenormale"/>
        <w:rPr>
          <w:b/>
          <w:u w:val="single"/>
        </w:rPr>
      </w:pPr>
      <w:r w:rsidRPr="0095313D">
        <w:t>Numéro</w:t>
      </w:r>
      <w:r>
        <w:t xml:space="preserve"> : </w:t>
      </w:r>
      <w:r w:rsidRPr="0095313D">
        <w:t>………….……………………………………...……………………………</w:t>
      </w:r>
    </w:p>
    <w:p w:rsidR="005F11D2" w:rsidRPr="0095313D" w:rsidRDefault="005F11D2" w:rsidP="005F11D2">
      <w:pPr>
        <w:pStyle w:val="Listenormale"/>
        <w:rPr>
          <w:b/>
          <w:u w:val="single"/>
        </w:rPr>
      </w:pPr>
      <w:r w:rsidRPr="0095313D">
        <w:t>Montant</w:t>
      </w:r>
      <w:r>
        <w:t xml:space="preserve"> : </w:t>
      </w:r>
      <w:r w:rsidRPr="0095313D">
        <w:t>………….………………………………………...…………………………</w:t>
      </w:r>
    </w:p>
    <w:p w:rsidR="005F11D2" w:rsidRPr="0095313D" w:rsidRDefault="005F11D2" w:rsidP="005F11D2">
      <w:pPr>
        <w:pStyle w:val="Listenormale"/>
        <w:rPr>
          <w:b/>
          <w:u w:val="single"/>
        </w:rPr>
      </w:pPr>
      <w:r w:rsidRPr="0095313D">
        <w:t>Date de notification</w:t>
      </w:r>
      <w:r>
        <w:t xml:space="preserve"> : </w:t>
      </w:r>
      <w:r w:rsidRPr="0095313D">
        <w:t>…………………………………………………………………..</w:t>
      </w:r>
    </w:p>
    <w:p w:rsidR="005F11D2" w:rsidRPr="005F11D2" w:rsidRDefault="005F11D2" w:rsidP="002565F1">
      <w:pPr>
        <w:pStyle w:val="ANXNIV3"/>
      </w:pPr>
      <w:r w:rsidRPr="005F11D2">
        <w:t>Montant de l’avance HT : ……………………………………………………………</w:t>
      </w:r>
    </w:p>
    <w:p w:rsidR="005F11D2" w:rsidRPr="005F11D2" w:rsidRDefault="005F11D2" w:rsidP="002565F1">
      <w:pPr>
        <w:pStyle w:val="ANXNIV3"/>
      </w:pPr>
      <w:r w:rsidRPr="005F11D2">
        <w:t>Montant de l’avance TTC : ……………………………………………………………</w:t>
      </w:r>
    </w:p>
    <w:p w:rsidR="005F11D2" w:rsidRPr="0095313D" w:rsidRDefault="005F11D2" w:rsidP="002565F1">
      <w:pPr>
        <w:pStyle w:val="ANXNIV3"/>
      </w:pPr>
      <w:r w:rsidRPr="005F11D2">
        <w:t xml:space="preserve">Montant garanti : </w:t>
      </w:r>
      <w:r w:rsidRPr="0095313D">
        <w:t>………………………………………………………………….</w:t>
      </w:r>
    </w:p>
    <w:p w:rsidR="005F11D2" w:rsidRPr="0095313D" w:rsidRDefault="005F11D2" w:rsidP="002565F1">
      <w:pPr>
        <w:pStyle w:val="ANXNIV1"/>
      </w:pPr>
      <w:r w:rsidRPr="0095313D">
        <w:t>B-Engagement</w:t>
      </w:r>
    </w:p>
    <w:p w:rsidR="005F11D2" w:rsidRPr="0095313D" w:rsidRDefault="005F11D2" w:rsidP="005F11D2">
      <w:pPr>
        <w:tabs>
          <w:tab w:val="center" w:pos="1440"/>
        </w:tabs>
      </w:pPr>
      <w:r w:rsidRPr="0095313D">
        <w:t xml:space="preserve">Nous nous portons caution personnelle et solidaire du titulaire du marché, dans la limite du montant garanti défini ci-dessus, pour le remboursement, s’il y a lieu,  de l’intégralité de l’avance consentie au titre du marché. </w:t>
      </w:r>
    </w:p>
    <w:p w:rsidR="005F11D2" w:rsidRPr="0095313D" w:rsidRDefault="005F11D2" w:rsidP="005F11D2">
      <w:pPr>
        <w:tabs>
          <w:tab w:val="center" w:pos="1440"/>
        </w:tabs>
      </w:pPr>
      <w:r w:rsidRPr="0095313D">
        <w:t>Nous nous engageons à effectuer, sur ordre de la personne publique,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5F11D2" w:rsidRPr="0095313D" w:rsidRDefault="005F11D2" w:rsidP="005F11D2">
      <w:pPr>
        <w:tabs>
          <w:tab w:val="center" w:pos="1440"/>
        </w:tabs>
      </w:pPr>
      <w:r w:rsidRPr="0095313D">
        <w:t xml:space="preserve">Le paiement interviendra dans un délai de quinze jours à compter de la réception de la demande par nos services. </w:t>
      </w:r>
    </w:p>
    <w:p w:rsidR="005F11D2" w:rsidRPr="0095313D" w:rsidRDefault="005F11D2" w:rsidP="005F11D2">
      <w:pPr>
        <w:tabs>
          <w:tab w:val="center" w:pos="1440"/>
        </w:tabs>
      </w:pPr>
      <w:r w:rsidRPr="0095313D">
        <w:t>Conformément à l’article 82 de la délibération susvisée, l’administration libèrera cette caution à mesure que l’avance sera effectivement remboursée.</w:t>
      </w:r>
    </w:p>
    <w:p w:rsidR="005F11D2" w:rsidRPr="00DA53C9" w:rsidRDefault="005F11D2" w:rsidP="005F11D2">
      <w:pPr>
        <w:tabs>
          <w:tab w:val="center" w:pos="1440"/>
        </w:tabs>
      </w:pPr>
      <w:r w:rsidRPr="0095313D">
        <w:t>Le présent engagement de caution prend fin lorsque le titulaire a remboursé l’intégralité de l’avance perçue au titre du marché.</w:t>
      </w:r>
    </w:p>
    <w:sectPr w:rsidR="005F11D2" w:rsidRPr="00DA53C9" w:rsidSect="00201BC5">
      <w:headerReference w:type="default" r:id="rId38"/>
      <w:footerReference w:type="default" r:id="rId39"/>
      <w:pgSz w:w="11906" w:h="16838"/>
      <w:pgMar w:top="709" w:right="991" w:bottom="993" w:left="993" w:header="284" w:footer="4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1CB" w:rsidRDefault="000171CB" w:rsidP="00E76F6F">
      <w:r>
        <w:separator/>
      </w:r>
    </w:p>
  </w:endnote>
  <w:endnote w:type="continuationSeparator" w:id="0">
    <w:p w:rsidR="000171CB" w:rsidRDefault="000171CB" w:rsidP="00E7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201BC5" w:rsidRDefault="000171CB" w:rsidP="00201BC5">
    <w:pPr>
      <w:pStyle w:val="Pieddepage"/>
      <w:ind w:left="0"/>
    </w:pPr>
    <w:r>
      <w:t>CCAP marché à bons de commandes travaux</w:t>
    </w:r>
    <w:r>
      <w:tab/>
    </w:r>
    <w:r>
      <w:fldChar w:fldCharType="begin"/>
    </w:r>
    <w:r>
      <w:instrText xml:space="preserve"> PAGE   \* MERGEFORMAT </w:instrText>
    </w:r>
    <w:r>
      <w:fldChar w:fldCharType="separate"/>
    </w:r>
    <w:r w:rsidR="00555941">
      <w:rPr>
        <w:noProof/>
      </w:rPr>
      <w:t>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191352" w:rsidRDefault="000171CB" w:rsidP="00201BC5">
    <w:pPr>
      <w:pStyle w:val="Pieddepage"/>
      <w:ind w:left="0"/>
      <w:rPr>
        <w:b/>
      </w:rPr>
    </w:pPr>
    <w:r>
      <w:t>Annexe 3 au CCAP : modèle d’état d’acompte</w:t>
    </w:r>
    <w:r>
      <w:tab/>
    </w:r>
    <w:r>
      <w:tab/>
    </w:r>
    <w:r w:rsidRPr="007F0A38">
      <w:t xml:space="preserve">Page </w:t>
    </w:r>
    <w:r>
      <w:fldChar w:fldCharType="begin"/>
    </w:r>
    <w:r>
      <w:instrText xml:space="preserve"> PAGE   \* MERGEFORMAT </w:instrText>
    </w:r>
    <w:r>
      <w:fldChar w:fldCharType="separate"/>
    </w:r>
    <w:r w:rsidR="00555941">
      <w:rPr>
        <w:noProof/>
      </w:rPr>
      <w:t>9</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555941">
      <w:rPr>
        <w:noProof/>
      </w:rPr>
      <w:t>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C7118C" w:rsidRDefault="000171CB" w:rsidP="00C7118C">
    <w:pPr>
      <w:pStyle w:val="Pieddepag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201BC5" w:rsidRDefault="000171CB" w:rsidP="00201BC5">
    <w:pPr>
      <w:pStyle w:val="Pieddepage"/>
    </w:pPr>
    <w:r>
      <w:t>Annexe 4 au CCAP : modèle de caution pour avance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201BC5" w:rsidRDefault="000171CB" w:rsidP="00201BC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8F1DC9" w:rsidRDefault="000171CB" w:rsidP="00C7118C">
    <w:pPr>
      <w:pBdr>
        <w:top w:val="single" w:sz="4" w:space="1" w:color="auto"/>
      </w:pBdr>
    </w:pPr>
    <w:r w:rsidRPr="008F1DC9">
      <w:t>Références : articles 3, 13-7, 13-8, 13-9, 53, 76-1, 97-1 de la délibération n° 424 du 20 mars 2019 modifiée</w:t>
    </w:r>
  </w:p>
  <w:p w:rsidR="000171CB" w:rsidRPr="00191352" w:rsidRDefault="000171CB" w:rsidP="00E76F6F">
    <w:pPr>
      <w:pStyle w:val="Pieddepage"/>
      <w:rPr>
        <w:b/>
      </w:rPr>
    </w:pPr>
    <w:r w:rsidRPr="007F0A38">
      <w:tab/>
      <w:t xml:space="preserve">Page </w:t>
    </w:r>
    <w:r>
      <w:fldChar w:fldCharType="begin"/>
    </w:r>
    <w:r>
      <w:instrText xml:space="preserve"> PAGE   \* MERGEFORMAT </w:instrText>
    </w:r>
    <w:r>
      <w:fldChar w:fldCharType="separate"/>
    </w:r>
    <w:r w:rsidR="00555941">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555941">
      <w:rPr>
        <w:noProof/>
      </w:rPr>
      <w:t>4</w:t>
    </w:r>
    <w:r>
      <w:rPr>
        <w:noProof/>
      </w:rPr>
      <w:fldChar w:fldCharType="end"/>
    </w:r>
    <w:r w:rsidRPr="007F0A38">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8F1DC9" w:rsidRDefault="000171CB" w:rsidP="00C7118C">
    <w:pPr>
      <w:pBdr>
        <w:top w:val="single" w:sz="4" w:space="1" w:color="auto"/>
      </w:pBdr>
    </w:pPr>
    <w:r w:rsidRPr="008F1DC9">
      <w:t>Références : articles 3, 13-7, 13-8, 13-9, 53, 76-1, 97-1 de la délibération n° 424 du 20 mars 2019 modifiée</w:t>
    </w:r>
  </w:p>
  <w:p w:rsidR="000171CB" w:rsidRPr="00955DF1" w:rsidRDefault="000171CB" w:rsidP="00E76F6F">
    <w:pPr>
      <w:pStyle w:val="Pieddepage"/>
      <w:rPr>
        <w:b/>
      </w:rPr>
    </w:pPr>
    <w:r w:rsidRPr="007F0A38">
      <w:tab/>
      <w:t xml:space="preserve">Page </w:t>
    </w:r>
    <w:r>
      <w:fldChar w:fldCharType="begin"/>
    </w:r>
    <w:r>
      <w:instrText xml:space="preserve"> PAGE   \* MERGEFORMAT </w:instrText>
    </w:r>
    <w:r>
      <w:fldChar w:fldCharType="separate"/>
    </w:r>
    <w:r>
      <w:rPr>
        <w:noProof/>
      </w:rPr>
      <w:t>1</w:t>
    </w:r>
    <w:r>
      <w:fldChar w:fldCharType="end"/>
    </w:r>
    <w:r>
      <w:t xml:space="preserve"> sur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7F0A38">
      <w:tab/>
    </w:r>
    <w:r w:rsidRPr="00191352">
      <w:rPr>
        <w:b/>
      </w:rPr>
      <w:t>Paraphes des signataires</w:t>
    </w:r>
    <w:r>
      <w:rPr>
        <w:b/>
      </w:rPr>
      <w:t xml:space="preserve"> de la demande</w:t>
    </w:r>
    <w:r w:rsidRPr="00191352">
      <w:rPr>
        <w:b/>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8F1DC9" w:rsidRDefault="000171CB" w:rsidP="00E76F6F">
    <w:r w:rsidRPr="008F1DC9">
      <w:t>Références : articles 3, 13-7, 13-8, 13-9, 53, 76-1, 97-1 de la délibération n° 424 du 20 mars 2019 modifiée</w:t>
    </w:r>
  </w:p>
  <w:p w:rsidR="000171CB" w:rsidRPr="00191352" w:rsidRDefault="000171CB" w:rsidP="00E76F6F">
    <w:pPr>
      <w:pStyle w:val="Pieddepage"/>
      <w:rPr>
        <w:b/>
      </w:rPr>
    </w:pPr>
    <w:r w:rsidRPr="007F0A38">
      <w:tab/>
      <w:t xml:space="preserve">Page </w:t>
    </w:r>
    <w:r>
      <w:fldChar w:fldCharType="begin"/>
    </w:r>
    <w:r>
      <w:instrText xml:space="preserve"> PAGE   \* MERGEFORMAT </w:instrText>
    </w:r>
    <w:r>
      <w:fldChar w:fldCharType="separate"/>
    </w:r>
    <w:r>
      <w:rPr>
        <w:noProof/>
      </w:rPr>
      <w:t>5</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r w:rsidRPr="007F0A38">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DA53C9" w:rsidRDefault="000171CB" w:rsidP="00E76F6F">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8F1DC9" w:rsidRDefault="000171CB" w:rsidP="00C7118C">
    <w:pPr>
      <w:pBdr>
        <w:top w:val="single" w:sz="4" w:space="1" w:color="auto"/>
      </w:pBdr>
    </w:pPr>
    <w:r w:rsidRPr="008F1DC9">
      <w:t>Références : articles 3, 13-7, 13-8, 13-9, 53, 76-1, 97-1 de la délibération n° 424 du 20 mars 2019 modifiée</w:t>
    </w:r>
  </w:p>
  <w:p w:rsidR="000171CB" w:rsidRPr="00191352" w:rsidRDefault="000171CB" w:rsidP="00E76F6F">
    <w:pPr>
      <w:pStyle w:val="Pieddepage"/>
      <w:rPr>
        <w:b/>
      </w:rPr>
    </w:pPr>
    <w:r w:rsidRPr="007F0A38">
      <w:tab/>
      <w:t xml:space="preserve">Page </w:t>
    </w:r>
    <w:r>
      <w:fldChar w:fldCharType="begin"/>
    </w:r>
    <w:r>
      <w:instrText xml:space="preserve"> PAGE   \* MERGEFORMAT </w:instrText>
    </w:r>
    <w:r>
      <w:fldChar w:fldCharType="separate"/>
    </w:r>
    <w:r w:rsidR="00555941">
      <w:rPr>
        <w:noProof/>
      </w:rPr>
      <w:t>4</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sidR="00555941">
      <w:rPr>
        <w:noProof/>
      </w:rPr>
      <w:t>4</w:t>
    </w:r>
    <w:r>
      <w:rPr>
        <w:noProof/>
      </w:rPr>
      <w:fldChar w:fldCharType="end"/>
    </w:r>
    <w:r w:rsidRPr="007F0A38">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8F1DC9" w:rsidRDefault="000171CB" w:rsidP="00E76F6F">
    <w:r w:rsidRPr="008F1DC9">
      <w:t>Références : articles 3, 13-7, 13-8, 13-9, 53, 76-1, 97-1 de la délibération n° 424 du 20 mars 2019 modifiée</w:t>
    </w:r>
  </w:p>
  <w:p w:rsidR="000171CB" w:rsidRPr="006018E7" w:rsidRDefault="000171CB" w:rsidP="00E76F6F">
    <w:pPr>
      <w:pStyle w:val="Pieddepage"/>
    </w:pPr>
    <w:r w:rsidRPr="007F0A38">
      <w:tab/>
      <w:t xml:space="preserve">Page </w:t>
    </w:r>
    <w:r>
      <w:fldChar w:fldCharType="begin"/>
    </w:r>
    <w:r>
      <w:instrText xml:space="preserve"> PAGE   \* MERGEFORMAT </w:instrText>
    </w:r>
    <w:r>
      <w:fldChar w:fldCharType="separate"/>
    </w:r>
    <w:r>
      <w:rPr>
        <w:noProof/>
      </w:rPr>
      <w:t>1</w:t>
    </w:r>
    <w:r>
      <w:fldChar w:fldCharType="end"/>
    </w:r>
    <w:r w:rsidRPr="007F0A38">
      <w:t xml:space="preserve"> sur</w:t>
    </w:r>
    <w:r>
      <w:t xml:space="preserve">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r w:rsidRPr="006018E7">
      <w:t xml:space="preserve"> </w:t>
    </w:r>
    <w:r w:rsidRPr="007F0A38">
      <w:tab/>
    </w:r>
    <w:r w:rsidRPr="00191352">
      <w:rPr>
        <w:b/>
      </w:rPr>
      <w:t>Paraphes des signataires</w:t>
    </w:r>
    <w:r>
      <w:rPr>
        <w:b/>
      </w:rPr>
      <w:t xml:space="preserve"> de la demande</w:t>
    </w:r>
    <w:r w:rsidRPr="00191352">
      <w:rPr>
        <w:b/>
      </w:rPr>
      <w: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Pr="00C7118C" w:rsidRDefault="000171CB" w:rsidP="00C711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1CB" w:rsidRDefault="000171CB" w:rsidP="00E76F6F">
      <w:r>
        <w:separator/>
      </w:r>
    </w:p>
  </w:footnote>
  <w:footnote w:type="continuationSeparator" w:id="0">
    <w:p w:rsidR="000171CB" w:rsidRDefault="000171CB" w:rsidP="00E7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E76F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E76F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E76F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E76F6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E76F6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E76F6F">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E76F6F">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1CB" w:rsidRDefault="000171CB" w:rsidP="00E76F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194"/>
    <w:multiLevelType w:val="hybridMultilevel"/>
    <w:tmpl w:val="DEE0C05E"/>
    <w:lvl w:ilvl="0" w:tplc="C25A87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D11DD"/>
    <w:multiLevelType w:val="hybridMultilevel"/>
    <w:tmpl w:val="B5B67E60"/>
    <w:lvl w:ilvl="0" w:tplc="11FAE10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15FCF"/>
    <w:multiLevelType w:val="hybridMultilevel"/>
    <w:tmpl w:val="A0847DEC"/>
    <w:lvl w:ilvl="0" w:tplc="EECE1E60">
      <w:start w:val="1"/>
      <w:numFmt w:val="lowerLetter"/>
      <w:lvlText w:val="%1."/>
      <w:lvlJc w:val="left"/>
      <w:pPr>
        <w:ind w:left="502"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1D77E11"/>
    <w:multiLevelType w:val="hybridMultilevel"/>
    <w:tmpl w:val="A68E15D0"/>
    <w:lvl w:ilvl="0" w:tplc="2DE62284">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4">
    <w:nsid w:val="2E8737AB"/>
    <w:multiLevelType w:val="hybridMultilevel"/>
    <w:tmpl w:val="C1709FC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314F4FA9"/>
    <w:multiLevelType w:val="multilevel"/>
    <w:tmpl w:val="9A62468C"/>
    <w:lvl w:ilvl="0">
      <w:start w:val="1"/>
      <w:numFmt w:val="upperRoman"/>
      <w:pStyle w:val="Titre1"/>
      <w:lvlText w:val="Article %1."/>
      <w:lvlJc w:val="left"/>
      <w:pPr>
        <w:tabs>
          <w:tab w:val="num" w:pos="1440"/>
        </w:tabs>
      </w:pPr>
      <w:rPr>
        <w:rFonts w:cs="Times New Roman"/>
      </w:rPr>
    </w:lvl>
    <w:lvl w:ilvl="1">
      <w:start w:val="1"/>
      <w:numFmt w:val="decimalZero"/>
      <w:pStyle w:val="Titre2"/>
      <w:isLgl/>
      <w:lvlText w:val="Section %1.%2"/>
      <w:lvlJc w:val="left"/>
      <w:pPr>
        <w:tabs>
          <w:tab w:val="num" w:pos="1080"/>
        </w:tabs>
      </w:pPr>
      <w:rPr>
        <w:rFonts w:cs="Times New Roman"/>
      </w:rPr>
    </w:lvl>
    <w:lvl w:ilvl="2">
      <w:start w:val="1"/>
      <w:numFmt w:val="lowerLetter"/>
      <w:pStyle w:val="Titre3"/>
      <w:lvlText w:val="(%3)"/>
      <w:lvlJc w:val="left"/>
      <w:pPr>
        <w:tabs>
          <w:tab w:val="num" w:pos="720"/>
        </w:tabs>
        <w:ind w:left="720" w:hanging="432"/>
      </w:pPr>
      <w:rPr>
        <w:rFonts w:cs="Times New Roman"/>
      </w:rPr>
    </w:lvl>
    <w:lvl w:ilvl="3">
      <w:start w:val="1"/>
      <w:numFmt w:val="lowerRoman"/>
      <w:pStyle w:val="Titre4"/>
      <w:lvlText w:val="(%4)"/>
      <w:lvlJc w:val="right"/>
      <w:pPr>
        <w:tabs>
          <w:tab w:val="num" w:pos="864"/>
        </w:tabs>
        <w:ind w:left="864" w:hanging="144"/>
      </w:pPr>
      <w:rPr>
        <w:rFonts w:cs="Times New Roman"/>
      </w:rPr>
    </w:lvl>
    <w:lvl w:ilvl="4">
      <w:start w:val="1"/>
      <w:numFmt w:val="decimal"/>
      <w:pStyle w:val="Titre5"/>
      <w:lvlText w:val="%5)"/>
      <w:lvlJc w:val="left"/>
      <w:pPr>
        <w:tabs>
          <w:tab w:val="num" w:pos="1008"/>
        </w:tabs>
        <w:ind w:left="1008" w:hanging="432"/>
      </w:pPr>
      <w:rPr>
        <w:rFonts w:cs="Times New Roman"/>
      </w:rPr>
    </w:lvl>
    <w:lvl w:ilvl="5">
      <w:start w:val="1"/>
      <w:numFmt w:val="lowerLetter"/>
      <w:pStyle w:val="Titre6"/>
      <w:lvlText w:val="%6)"/>
      <w:lvlJc w:val="left"/>
      <w:pPr>
        <w:tabs>
          <w:tab w:val="num" w:pos="1152"/>
        </w:tabs>
        <w:ind w:left="1152" w:hanging="432"/>
      </w:pPr>
      <w:rPr>
        <w:rFonts w:cs="Times New Roman"/>
      </w:rPr>
    </w:lvl>
    <w:lvl w:ilvl="6">
      <w:start w:val="1"/>
      <w:numFmt w:val="lowerRoman"/>
      <w:pStyle w:val="Titre7"/>
      <w:lvlText w:val="%7)"/>
      <w:lvlJc w:val="right"/>
      <w:pPr>
        <w:tabs>
          <w:tab w:val="num" w:pos="1296"/>
        </w:tabs>
        <w:ind w:left="1296" w:hanging="288"/>
      </w:pPr>
      <w:rPr>
        <w:rFonts w:cs="Times New Roman"/>
      </w:rPr>
    </w:lvl>
    <w:lvl w:ilvl="7">
      <w:start w:val="1"/>
      <w:numFmt w:val="lowerLetter"/>
      <w:pStyle w:val="Titre8"/>
      <w:lvlText w:val="%8."/>
      <w:lvlJc w:val="left"/>
      <w:pPr>
        <w:tabs>
          <w:tab w:val="num" w:pos="1440"/>
        </w:tabs>
        <w:ind w:left="1440" w:hanging="432"/>
      </w:pPr>
      <w:rPr>
        <w:rFonts w:cs="Times New Roman"/>
      </w:rPr>
    </w:lvl>
    <w:lvl w:ilvl="8">
      <w:start w:val="1"/>
      <w:numFmt w:val="lowerRoman"/>
      <w:pStyle w:val="Titre9"/>
      <w:lvlText w:val="%9."/>
      <w:lvlJc w:val="right"/>
      <w:pPr>
        <w:tabs>
          <w:tab w:val="num" w:pos="1584"/>
        </w:tabs>
        <w:ind w:left="1584" w:hanging="144"/>
      </w:pPr>
      <w:rPr>
        <w:rFonts w:cs="Times New Roman"/>
      </w:rPr>
    </w:lvl>
  </w:abstractNum>
  <w:abstractNum w:abstractNumId="7">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8">
    <w:nsid w:val="43F12C02"/>
    <w:multiLevelType w:val="hybridMultilevel"/>
    <w:tmpl w:val="ED56AB2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9">
    <w:nsid w:val="478F6C50"/>
    <w:multiLevelType w:val="hybridMultilevel"/>
    <w:tmpl w:val="B1FCC256"/>
    <w:lvl w:ilvl="0" w:tplc="EA729FA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3E798F"/>
    <w:multiLevelType w:val="hybridMultilevel"/>
    <w:tmpl w:val="84088A66"/>
    <w:lvl w:ilvl="0" w:tplc="30627A1A">
      <w:start w:val="2"/>
      <w:numFmt w:val="bullet"/>
      <w:lvlText w:val="o"/>
      <w:lvlJc w:val="left"/>
      <w:pPr>
        <w:tabs>
          <w:tab w:val="num" w:pos="2487"/>
        </w:tabs>
        <w:ind w:left="2487" w:hanging="360"/>
      </w:pPr>
      <w:rPr>
        <w:rFonts w:ascii="Wingdings" w:hAnsi="Wingdings" w:cs="Times New Roman" w:hint="default"/>
      </w:rPr>
    </w:lvl>
    <w:lvl w:ilvl="1" w:tplc="040C0003" w:tentative="1">
      <w:start w:val="1"/>
      <w:numFmt w:val="bullet"/>
      <w:lvlText w:val="o"/>
      <w:lvlJc w:val="left"/>
      <w:pPr>
        <w:ind w:left="2427" w:hanging="360"/>
      </w:pPr>
      <w:rPr>
        <w:rFonts w:ascii="Courier New" w:hAnsi="Courier New" w:cs="Courier New" w:hint="default"/>
      </w:rPr>
    </w:lvl>
    <w:lvl w:ilvl="2" w:tplc="040C0005" w:tentative="1">
      <w:start w:val="1"/>
      <w:numFmt w:val="bullet"/>
      <w:lvlText w:val=""/>
      <w:lvlJc w:val="left"/>
      <w:pPr>
        <w:ind w:left="3147" w:hanging="360"/>
      </w:pPr>
      <w:rPr>
        <w:rFonts w:ascii="Wingdings" w:hAnsi="Wingdings" w:hint="default"/>
      </w:rPr>
    </w:lvl>
    <w:lvl w:ilvl="3" w:tplc="040C0001" w:tentative="1">
      <w:start w:val="1"/>
      <w:numFmt w:val="bullet"/>
      <w:lvlText w:val=""/>
      <w:lvlJc w:val="left"/>
      <w:pPr>
        <w:ind w:left="3867" w:hanging="360"/>
      </w:pPr>
      <w:rPr>
        <w:rFonts w:ascii="Symbol" w:hAnsi="Symbol" w:hint="default"/>
      </w:rPr>
    </w:lvl>
    <w:lvl w:ilvl="4" w:tplc="040C0003" w:tentative="1">
      <w:start w:val="1"/>
      <w:numFmt w:val="bullet"/>
      <w:lvlText w:val="o"/>
      <w:lvlJc w:val="left"/>
      <w:pPr>
        <w:ind w:left="4587" w:hanging="360"/>
      </w:pPr>
      <w:rPr>
        <w:rFonts w:ascii="Courier New" w:hAnsi="Courier New" w:cs="Courier New" w:hint="default"/>
      </w:rPr>
    </w:lvl>
    <w:lvl w:ilvl="5" w:tplc="040C0005" w:tentative="1">
      <w:start w:val="1"/>
      <w:numFmt w:val="bullet"/>
      <w:lvlText w:val=""/>
      <w:lvlJc w:val="left"/>
      <w:pPr>
        <w:ind w:left="5307" w:hanging="360"/>
      </w:pPr>
      <w:rPr>
        <w:rFonts w:ascii="Wingdings" w:hAnsi="Wingdings" w:hint="default"/>
      </w:rPr>
    </w:lvl>
    <w:lvl w:ilvl="6" w:tplc="040C0001" w:tentative="1">
      <w:start w:val="1"/>
      <w:numFmt w:val="bullet"/>
      <w:lvlText w:val=""/>
      <w:lvlJc w:val="left"/>
      <w:pPr>
        <w:ind w:left="6027" w:hanging="360"/>
      </w:pPr>
      <w:rPr>
        <w:rFonts w:ascii="Symbol" w:hAnsi="Symbol" w:hint="default"/>
      </w:rPr>
    </w:lvl>
    <w:lvl w:ilvl="7" w:tplc="040C0003" w:tentative="1">
      <w:start w:val="1"/>
      <w:numFmt w:val="bullet"/>
      <w:lvlText w:val="o"/>
      <w:lvlJc w:val="left"/>
      <w:pPr>
        <w:ind w:left="6747" w:hanging="360"/>
      </w:pPr>
      <w:rPr>
        <w:rFonts w:ascii="Courier New" w:hAnsi="Courier New" w:cs="Courier New" w:hint="default"/>
      </w:rPr>
    </w:lvl>
    <w:lvl w:ilvl="8" w:tplc="040C0005" w:tentative="1">
      <w:start w:val="1"/>
      <w:numFmt w:val="bullet"/>
      <w:lvlText w:val=""/>
      <w:lvlJc w:val="left"/>
      <w:pPr>
        <w:ind w:left="7467" w:hanging="360"/>
      </w:pPr>
      <w:rPr>
        <w:rFonts w:ascii="Wingdings" w:hAnsi="Wingdings" w:hint="default"/>
      </w:rPr>
    </w:lvl>
  </w:abstractNum>
  <w:abstractNum w:abstractNumId="11">
    <w:nsid w:val="5D4152E9"/>
    <w:multiLevelType w:val="hybridMultilevel"/>
    <w:tmpl w:val="932C66DC"/>
    <w:lvl w:ilvl="0" w:tplc="FDFC71D6">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2">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3">
    <w:nsid w:val="6B3F306B"/>
    <w:multiLevelType w:val="hybridMultilevel"/>
    <w:tmpl w:val="6BEE2382"/>
    <w:lvl w:ilvl="0" w:tplc="D0C0E76E">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nsid w:val="73AA7FC4"/>
    <w:multiLevelType w:val="hybridMultilevel"/>
    <w:tmpl w:val="9FD2DDD0"/>
    <w:lvl w:ilvl="0" w:tplc="037ACF1A">
      <w:start w:val="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6771428"/>
    <w:multiLevelType w:val="hybridMultilevel"/>
    <w:tmpl w:val="8E8E3FF8"/>
    <w:lvl w:ilvl="0" w:tplc="270C41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A175FB"/>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9"/>
  </w:num>
  <w:num w:numId="2">
    <w:abstractNumId w:val="1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9"/>
  </w:num>
  <w:num w:numId="13">
    <w:abstractNumId w:val="14"/>
  </w:num>
  <w:num w:numId="14">
    <w:abstractNumId w:val="8"/>
  </w:num>
  <w:num w:numId="15">
    <w:abstractNumId w:val="7"/>
  </w:num>
  <w:num w:numId="16">
    <w:abstractNumId w:val="7"/>
  </w:num>
  <w:num w:numId="17">
    <w:abstractNumId w:val="7"/>
  </w:num>
  <w:num w:numId="18">
    <w:abstractNumId w:val="7"/>
  </w:num>
  <w:num w:numId="19">
    <w:abstractNumId w:val="7"/>
  </w:num>
  <w:num w:numId="20">
    <w:abstractNumId w:val="4"/>
  </w:num>
  <w:num w:numId="21">
    <w:abstractNumId w:val="0"/>
  </w:num>
  <w:num w:numId="22">
    <w:abstractNumId w:val="10"/>
  </w:num>
  <w:num w:numId="23">
    <w:abstractNumId w:val="13"/>
  </w:num>
  <w:num w:numId="24">
    <w:abstractNumId w:val="7"/>
  </w:num>
  <w:num w:numId="25">
    <w:abstractNumId w:val="5"/>
  </w:num>
  <w:num w:numId="26">
    <w:abstractNumId w:val="3"/>
  </w:num>
  <w:num w:numId="27">
    <w:abstractNumId w:val="15"/>
  </w:num>
  <w:num w:numId="28">
    <w:abstractNumId w:val="7"/>
  </w:num>
  <w:num w:numId="29">
    <w:abstractNumId w:val="3"/>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num>
  <w:num w:numId="33">
    <w:abstractNumId w:val="2"/>
  </w:num>
  <w:num w:numId="34">
    <w:abstractNumId w:val="2"/>
    <w:lvlOverride w:ilvl="0">
      <w:startOverride w:val="1"/>
    </w:lvlOverride>
  </w:num>
  <w:num w:numId="35">
    <w:abstractNumId w:val="3"/>
    <w:lvlOverride w:ilvl="0">
      <w:startOverride w:val="1"/>
    </w:lvlOverride>
  </w:num>
  <w:num w:numId="36">
    <w:abstractNumId w:val="1"/>
  </w:num>
  <w:num w:numId="37">
    <w:abstractNumId w:val="7"/>
  </w:num>
  <w:num w:numId="38">
    <w:abstractNumId w:val="11"/>
  </w:num>
  <w:num w:numId="39">
    <w:abstractNumId w:val="11"/>
    <w:lvlOverride w:ilvl="0">
      <w:startOverride w:val="1"/>
    </w:lvlOverride>
  </w:num>
  <w:num w:numId="40">
    <w:abstractNumId w:val="16"/>
  </w:num>
  <w:num w:numId="41">
    <w:abstractNumId w:val="12"/>
  </w:num>
  <w:num w:numId="42">
    <w:abstractNumId w:val="11"/>
    <w:lvlOverride w:ilvl="0">
      <w:startOverride w:val="1"/>
    </w:lvlOverride>
  </w:num>
  <w:num w:numId="4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4"/>
    <w:rsid w:val="00010573"/>
    <w:rsid w:val="000171CB"/>
    <w:rsid w:val="00023565"/>
    <w:rsid w:val="00051F70"/>
    <w:rsid w:val="00056BB3"/>
    <w:rsid w:val="00061182"/>
    <w:rsid w:val="00062335"/>
    <w:rsid w:val="00065B2B"/>
    <w:rsid w:val="0007155E"/>
    <w:rsid w:val="00073C91"/>
    <w:rsid w:val="00087095"/>
    <w:rsid w:val="000902DE"/>
    <w:rsid w:val="00091434"/>
    <w:rsid w:val="000B7931"/>
    <w:rsid w:val="000C0A86"/>
    <w:rsid w:val="000C57C4"/>
    <w:rsid w:val="000E16F9"/>
    <w:rsid w:val="000F28AE"/>
    <w:rsid w:val="0011750D"/>
    <w:rsid w:val="00123A1C"/>
    <w:rsid w:val="001260F8"/>
    <w:rsid w:val="001336FB"/>
    <w:rsid w:val="00150D21"/>
    <w:rsid w:val="00157E11"/>
    <w:rsid w:val="00180261"/>
    <w:rsid w:val="001870DF"/>
    <w:rsid w:val="001920D8"/>
    <w:rsid w:val="001A491C"/>
    <w:rsid w:val="001B17EF"/>
    <w:rsid w:val="001D5DD3"/>
    <w:rsid w:val="001E1B5D"/>
    <w:rsid w:val="001E2DEC"/>
    <w:rsid w:val="001F3402"/>
    <w:rsid w:val="001F7EB8"/>
    <w:rsid w:val="00201BC5"/>
    <w:rsid w:val="00223263"/>
    <w:rsid w:val="00233684"/>
    <w:rsid w:val="002376D8"/>
    <w:rsid w:val="00254C49"/>
    <w:rsid w:val="002565F1"/>
    <w:rsid w:val="00265B3E"/>
    <w:rsid w:val="00266995"/>
    <w:rsid w:val="0027199D"/>
    <w:rsid w:val="00273A6F"/>
    <w:rsid w:val="002742B6"/>
    <w:rsid w:val="002772C4"/>
    <w:rsid w:val="00281459"/>
    <w:rsid w:val="002B1D9C"/>
    <w:rsid w:val="002B30F7"/>
    <w:rsid w:val="002E3E40"/>
    <w:rsid w:val="002E47FA"/>
    <w:rsid w:val="002F090E"/>
    <w:rsid w:val="003059D3"/>
    <w:rsid w:val="0030667D"/>
    <w:rsid w:val="00310893"/>
    <w:rsid w:val="00310F78"/>
    <w:rsid w:val="00311F7C"/>
    <w:rsid w:val="0031687C"/>
    <w:rsid w:val="003306DD"/>
    <w:rsid w:val="0034350C"/>
    <w:rsid w:val="00343542"/>
    <w:rsid w:val="00343722"/>
    <w:rsid w:val="003629D5"/>
    <w:rsid w:val="003655F2"/>
    <w:rsid w:val="003768C9"/>
    <w:rsid w:val="00380672"/>
    <w:rsid w:val="0038255E"/>
    <w:rsid w:val="0038559F"/>
    <w:rsid w:val="00386F03"/>
    <w:rsid w:val="00387586"/>
    <w:rsid w:val="003B1E60"/>
    <w:rsid w:val="003C2094"/>
    <w:rsid w:val="003D4A7E"/>
    <w:rsid w:val="003E211F"/>
    <w:rsid w:val="003E4012"/>
    <w:rsid w:val="003F2BB4"/>
    <w:rsid w:val="003F51C1"/>
    <w:rsid w:val="003F5FB4"/>
    <w:rsid w:val="004020BD"/>
    <w:rsid w:val="004121AB"/>
    <w:rsid w:val="00455508"/>
    <w:rsid w:val="00474073"/>
    <w:rsid w:val="00492F80"/>
    <w:rsid w:val="00495261"/>
    <w:rsid w:val="004A0DC6"/>
    <w:rsid w:val="004A695A"/>
    <w:rsid w:val="004C4CAB"/>
    <w:rsid w:val="004D3671"/>
    <w:rsid w:val="004D7752"/>
    <w:rsid w:val="004E65EF"/>
    <w:rsid w:val="00500099"/>
    <w:rsid w:val="00512FEB"/>
    <w:rsid w:val="00530C5A"/>
    <w:rsid w:val="005530E3"/>
    <w:rsid w:val="00555941"/>
    <w:rsid w:val="00560080"/>
    <w:rsid w:val="005805F1"/>
    <w:rsid w:val="00581876"/>
    <w:rsid w:val="0058753D"/>
    <w:rsid w:val="00595D2A"/>
    <w:rsid w:val="005A50DA"/>
    <w:rsid w:val="005B569A"/>
    <w:rsid w:val="005C5465"/>
    <w:rsid w:val="005D195E"/>
    <w:rsid w:val="005F11D2"/>
    <w:rsid w:val="005F43A6"/>
    <w:rsid w:val="006018E7"/>
    <w:rsid w:val="006037E2"/>
    <w:rsid w:val="00615059"/>
    <w:rsid w:val="00615241"/>
    <w:rsid w:val="006427BE"/>
    <w:rsid w:val="00643E72"/>
    <w:rsid w:val="00644448"/>
    <w:rsid w:val="00651ADB"/>
    <w:rsid w:val="006530C9"/>
    <w:rsid w:val="00662BC8"/>
    <w:rsid w:val="00664D56"/>
    <w:rsid w:val="006819F7"/>
    <w:rsid w:val="00682533"/>
    <w:rsid w:val="00684FB8"/>
    <w:rsid w:val="00696509"/>
    <w:rsid w:val="006A5EE2"/>
    <w:rsid w:val="006B1010"/>
    <w:rsid w:val="006C271F"/>
    <w:rsid w:val="006C35A7"/>
    <w:rsid w:val="006D6DB1"/>
    <w:rsid w:val="006E07C0"/>
    <w:rsid w:val="006E1427"/>
    <w:rsid w:val="006E2DF0"/>
    <w:rsid w:val="006F4EA2"/>
    <w:rsid w:val="006F5750"/>
    <w:rsid w:val="00702D28"/>
    <w:rsid w:val="00717341"/>
    <w:rsid w:val="007177B8"/>
    <w:rsid w:val="00721132"/>
    <w:rsid w:val="00721FE1"/>
    <w:rsid w:val="0072720F"/>
    <w:rsid w:val="00736A94"/>
    <w:rsid w:val="007426FB"/>
    <w:rsid w:val="00743BD6"/>
    <w:rsid w:val="0074544F"/>
    <w:rsid w:val="00746698"/>
    <w:rsid w:val="00746A1E"/>
    <w:rsid w:val="00751D14"/>
    <w:rsid w:val="00774A53"/>
    <w:rsid w:val="007B6A23"/>
    <w:rsid w:val="007B74E4"/>
    <w:rsid w:val="007C6FF6"/>
    <w:rsid w:val="007E54F7"/>
    <w:rsid w:val="0081613F"/>
    <w:rsid w:val="0083215C"/>
    <w:rsid w:val="0084191F"/>
    <w:rsid w:val="008501C5"/>
    <w:rsid w:val="00851F1B"/>
    <w:rsid w:val="00852C8F"/>
    <w:rsid w:val="00856A0D"/>
    <w:rsid w:val="008A6315"/>
    <w:rsid w:val="008B1AA1"/>
    <w:rsid w:val="008B5E5B"/>
    <w:rsid w:val="008B7839"/>
    <w:rsid w:val="008C0C8C"/>
    <w:rsid w:val="008C446F"/>
    <w:rsid w:val="008C5F61"/>
    <w:rsid w:val="008D0B12"/>
    <w:rsid w:val="008D3D47"/>
    <w:rsid w:val="008D4D8C"/>
    <w:rsid w:val="008E059F"/>
    <w:rsid w:val="008E1421"/>
    <w:rsid w:val="008E60F6"/>
    <w:rsid w:val="008E6EF2"/>
    <w:rsid w:val="008F0E2E"/>
    <w:rsid w:val="008F1DC9"/>
    <w:rsid w:val="0090273D"/>
    <w:rsid w:val="009034D5"/>
    <w:rsid w:val="00904F1A"/>
    <w:rsid w:val="009161EB"/>
    <w:rsid w:val="00921E88"/>
    <w:rsid w:val="00923711"/>
    <w:rsid w:val="00936478"/>
    <w:rsid w:val="00960A43"/>
    <w:rsid w:val="0096151F"/>
    <w:rsid w:val="00962CFC"/>
    <w:rsid w:val="00966F0E"/>
    <w:rsid w:val="009906AD"/>
    <w:rsid w:val="0099533B"/>
    <w:rsid w:val="009A19B6"/>
    <w:rsid w:val="009B2F51"/>
    <w:rsid w:val="009C52F4"/>
    <w:rsid w:val="009D065A"/>
    <w:rsid w:val="009D2FBD"/>
    <w:rsid w:val="009E3752"/>
    <w:rsid w:val="009F1C69"/>
    <w:rsid w:val="009F7193"/>
    <w:rsid w:val="00A12F00"/>
    <w:rsid w:val="00A16753"/>
    <w:rsid w:val="00A17B0F"/>
    <w:rsid w:val="00A22CD9"/>
    <w:rsid w:val="00A34064"/>
    <w:rsid w:val="00A4744F"/>
    <w:rsid w:val="00A634DB"/>
    <w:rsid w:val="00A6494E"/>
    <w:rsid w:val="00A83939"/>
    <w:rsid w:val="00A87C22"/>
    <w:rsid w:val="00A92C6B"/>
    <w:rsid w:val="00AA2E2D"/>
    <w:rsid w:val="00AC0021"/>
    <w:rsid w:val="00AC657D"/>
    <w:rsid w:val="00AE2699"/>
    <w:rsid w:val="00B03E25"/>
    <w:rsid w:val="00B04B9D"/>
    <w:rsid w:val="00B05E7A"/>
    <w:rsid w:val="00B20F4E"/>
    <w:rsid w:val="00B41059"/>
    <w:rsid w:val="00B62488"/>
    <w:rsid w:val="00B63DE9"/>
    <w:rsid w:val="00B64574"/>
    <w:rsid w:val="00B667E3"/>
    <w:rsid w:val="00B7258E"/>
    <w:rsid w:val="00BA4AEF"/>
    <w:rsid w:val="00BB307E"/>
    <w:rsid w:val="00BB4A26"/>
    <w:rsid w:val="00BC55B5"/>
    <w:rsid w:val="00BE1B67"/>
    <w:rsid w:val="00BE3FDC"/>
    <w:rsid w:val="00C23998"/>
    <w:rsid w:val="00C375B8"/>
    <w:rsid w:val="00C42A59"/>
    <w:rsid w:val="00C449F9"/>
    <w:rsid w:val="00C56758"/>
    <w:rsid w:val="00C7118C"/>
    <w:rsid w:val="00C8080F"/>
    <w:rsid w:val="00C837A0"/>
    <w:rsid w:val="00C84103"/>
    <w:rsid w:val="00CA0464"/>
    <w:rsid w:val="00CC0C14"/>
    <w:rsid w:val="00CC0DD9"/>
    <w:rsid w:val="00CE1632"/>
    <w:rsid w:val="00CE3525"/>
    <w:rsid w:val="00CE6DD2"/>
    <w:rsid w:val="00CE7DA9"/>
    <w:rsid w:val="00CF4326"/>
    <w:rsid w:val="00CF4AE5"/>
    <w:rsid w:val="00D047D2"/>
    <w:rsid w:val="00D06C53"/>
    <w:rsid w:val="00D23859"/>
    <w:rsid w:val="00D30510"/>
    <w:rsid w:val="00D34E8E"/>
    <w:rsid w:val="00D40820"/>
    <w:rsid w:val="00D45C97"/>
    <w:rsid w:val="00D60D25"/>
    <w:rsid w:val="00D64D6B"/>
    <w:rsid w:val="00D65D5C"/>
    <w:rsid w:val="00D933D7"/>
    <w:rsid w:val="00D97255"/>
    <w:rsid w:val="00DA3AE2"/>
    <w:rsid w:val="00DA53C9"/>
    <w:rsid w:val="00DB59F5"/>
    <w:rsid w:val="00DC0195"/>
    <w:rsid w:val="00DC09CD"/>
    <w:rsid w:val="00DC2EF5"/>
    <w:rsid w:val="00DD06E1"/>
    <w:rsid w:val="00DD3B6F"/>
    <w:rsid w:val="00DD5255"/>
    <w:rsid w:val="00DF0872"/>
    <w:rsid w:val="00DF5403"/>
    <w:rsid w:val="00E32934"/>
    <w:rsid w:val="00E472EB"/>
    <w:rsid w:val="00E50155"/>
    <w:rsid w:val="00E6712D"/>
    <w:rsid w:val="00E73678"/>
    <w:rsid w:val="00E76F6F"/>
    <w:rsid w:val="00E9340D"/>
    <w:rsid w:val="00E9484B"/>
    <w:rsid w:val="00E9776D"/>
    <w:rsid w:val="00EA338E"/>
    <w:rsid w:val="00EA5A26"/>
    <w:rsid w:val="00EB4616"/>
    <w:rsid w:val="00ED2F17"/>
    <w:rsid w:val="00ED64B7"/>
    <w:rsid w:val="00EE0855"/>
    <w:rsid w:val="00EE3F44"/>
    <w:rsid w:val="00EF11C4"/>
    <w:rsid w:val="00EF62BC"/>
    <w:rsid w:val="00F015E9"/>
    <w:rsid w:val="00F03297"/>
    <w:rsid w:val="00F078BD"/>
    <w:rsid w:val="00F14311"/>
    <w:rsid w:val="00F158F3"/>
    <w:rsid w:val="00F241C4"/>
    <w:rsid w:val="00F26629"/>
    <w:rsid w:val="00F346D2"/>
    <w:rsid w:val="00F46570"/>
    <w:rsid w:val="00F517BF"/>
    <w:rsid w:val="00F52210"/>
    <w:rsid w:val="00F63EF1"/>
    <w:rsid w:val="00F679C0"/>
    <w:rsid w:val="00F87A4A"/>
    <w:rsid w:val="00F93867"/>
    <w:rsid w:val="00FA2CE4"/>
    <w:rsid w:val="00FD76B5"/>
    <w:rsid w:val="00FE1210"/>
    <w:rsid w:val="00FE2298"/>
    <w:rsid w:val="00FF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38"/>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6F"/>
    <w:pPr>
      <w:overflowPunct w:val="0"/>
      <w:autoSpaceDE w:val="0"/>
      <w:autoSpaceDN w:val="0"/>
      <w:adjustRightInd w:val="0"/>
      <w:spacing w:before="120" w:after="120"/>
      <w:ind w:left="851"/>
      <w:jc w:val="both"/>
      <w:textAlignment w:val="baseline"/>
    </w:pPr>
    <w:rPr>
      <w:sz w:val="22"/>
      <w:szCs w:val="22"/>
    </w:rPr>
  </w:style>
  <w:style w:type="paragraph" w:styleId="Titre1">
    <w:name w:val="heading 1"/>
    <w:basedOn w:val="Normal"/>
    <w:next w:val="Normal"/>
    <w:link w:val="Titre1Car"/>
    <w:uiPriority w:val="9"/>
    <w:qFormat/>
    <w:rsid w:val="00EA338E"/>
    <w:pPr>
      <w:keepNext/>
      <w:numPr>
        <w:numId w:val="11"/>
      </w:numPr>
      <w:tabs>
        <w:tab w:val="center" w:pos="1701"/>
        <w:tab w:val="left" w:pos="6379"/>
      </w:tabs>
      <w:outlineLvl w:val="0"/>
    </w:pPr>
    <w:rPr>
      <w:u w:val="single"/>
    </w:rPr>
  </w:style>
  <w:style w:type="paragraph" w:styleId="Titre2">
    <w:name w:val="heading 2"/>
    <w:basedOn w:val="Normal"/>
    <w:next w:val="Normal"/>
    <w:link w:val="Titre2Car"/>
    <w:uiPriority w:val="9"/>
    <w:qFormat/>
    <w:rsid w:val="00EA338E"/>
    <w:pPr>
      <w:keepNext/>
      <w:numPr>
        <w:ilvl w:val="1"/>
        <w:numId w:val="1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EA338E"/>
    <w:pPr>
      <w:keepNext/>
      <w:numPr>
        <w:ilvl w:val="2"/>
        <w:numId w:val="1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EA338E"/>
    <w:pPr>
      <w:keepNext/>
      <w:numPr>
        <w:ilvl w:val="3"/>
        <w:numId w:val="11"/>
      </w:numPr>
      <w:spacing w:before="240" w:after="60"/>
      <w:outlineLvl w:val="3"/>
    </w:pPr>
    <w:rPr>
      <w:b/>
      <w:bCs/>
      <w:sz w:val="28"/>
      <w:szCs w:val="28"/>
    </w:rPr>
  </w:style>
  <w:style w:type="paragraph" w:styleId="Titre5">
    <w:name w:val="heading 5"/>
    <w:basedOn w:val="Normal"/>
    <w:next w:val="Normal"/>
    <w:link w:val="Titre5Car"/>
    <w:uiPriority w:val="9"/>
    <w:qFormat/>
    <w:rsid w:val="00EA338E"/>
    <w:pPr>
      <w:numPr>
        <w:ilvl w:val="4"/>
        <w:numId w:val="11"/>
      </w:numPr>
      <w:spacing w:before="240" w:after="60"/>
      <w:outlineLvl w:val="4"/>
    </w:pPr>
    <w:rPr>
      <w:rFonts w:cs="Arial"/>
      <w:b/>
      <w:bCs/>
      <w:i/>
      <w:iCs/>
      <w:sz w:val="26"/>
      <w:szCs w:val="26"/>
    </w:rPr>
  </w:style>
  <w:style w:type="paragraph" w:styleId="Titre6">
    <w:name w:val="heading 6"/>
    <w:basedOn w:val="Normal"/>
    <w:next w:val="Normal"/>
    <w:link w:val="Titre6Car"/>
    <w:uiPriority w:val="9"/>
    <w:qFormat/>
    <w:rsid w:val="00EA338E"/>
    <w:pPr>
      <w:numPr>
        <w:ilvl w:val="5"/>
        <w:numId w:val="11"/>
      </w:numPr>
      <w:spacing w:before="240" w:after="60"/>
      <w:outlineLvl w:val="5"/>
    </w:pPr>
    <w:rPr>
      <w:b/>
      <w:bCs/>
    </w:rPr>
  </w:style>
  <w:style w:type="paragraph" w:styleId="Titre7">
    <w:name w:val="heading 7"/>
    <w:basedOn w:val="Normal"/>
    <w:next w:val="Normal"/>
    <w:link w:val="Titre7Car"/>
    <w:uiPriority w:val="9"/>
    <w:qFormat/>
    <w:rsid w:val="00EA338E"/>
    <w:pPr>
      <w:numPr>
        <w:ilvl w:val="6"/>
        <w:numId w:val="11"/>
      </w:numPr>
      <w:spacing w:before="240" w:after="60"/>
      <w:outlineLvl w:val="6"/>
    </w:pPr>
    <w:rPr>
      <w:szCs w:val="24"/>
    </w:rPr>
  </w:style>
  <w:style w:type="paragraph" w:styleId="Titre8">
    <w:name w:val="heading 8"/>
    <w:basedOn w:val="Normal"/>
    <w:next w:val="Normal"/>
    <w:link w:val="Titre8Car"/>
    <w:uiPriority w:val="9"/>
    <w:qFormat/>
    <w:rsid w:val="00EA338E"/>
    <w:pPr>
      <w:numPr>
        <w:ilvl w:val="7"/>
        <w:numId w:val="11"/>
      </w:numPr>
      <w:spacing w:before="240" w:after="60"/>
      <w:outlineLvl w:val="7"/>
    </w:pPr>
    <w:rPr>
      <w:rFonts w:cs="Arial"/>
      <w:i/>
      <w:iCs/>
      <w:szCs w:val="24"/>
    </w:rPr>
  </w:style>
  <w:style w:type="paragraph" w:styleId="Titre9">
    <w:name w:val="heading 9"/>
    <w:basedOn w:val="Normal"/>
    <w:next w:val="Normal"/>
    <w:link w:val="Titre9Car"/>
    <w:uiPriority w:val="9"/>
    <w:qFormat/>
    <w:rsid w:val="00EA338E"/>
    <w:pPr>
      <w:numPr>
        <w:ilvl w:val="8"/>
        <w:numId w:val="11"/>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338E"/>
    <w:rPr>
      <w:sz w:val="22"/>
      <w:u w:val="single"/>
    </w:rPr>
  </w:style>
  <w:style w:type="character" w:customStyle="1" w:styleId="Titre2Car">
    <w:name w:val="Titre 2 Car"/>
    <w:basedOn w:val="Policepardfaut"/>
    <w:link w:val="Titre2"/>
    <w:uiPriority w:val="9"/>
    <w:rsid w:val="00EA338E"/>
    <w:rPr>
      <w:rFonts w:ascii="Arial" w:hAnsi="Arial" w:cs="Arial"/>
      <w:b/>
      <w:bCs/>
      <w:i/>
      <w:iCs/>
      <w:sz w:val="28"/>
      <w:szCs w:val="28"/>
    </w:rPr>
  </w:style>
  <w:style w:type="character" w:customStyle="1" w:styleId="Titre3Car">
    <w:name w:val="Titre 3 Car"/>
    <w:basedOn w:val="Policepardfaut"/>
    <w:link w:val="Titre3"/>
    <w:uiPriority w:val="9"/>
    <w:rsid w:val="00EA338E"/>
    <w:rPr>
      <w:rFonts w:ascii="Arial" w:hAnsi="Arial" w:cs="Arial"/>
      <w:b/>
      <w:bCs/>
      <w:sz w:val="26"/>
      <w:szCs w:val="26"/>
    </w:rPr>
  </w:style>
  <w:style w:type="character" w:customStyle="1" w:styleId="Titre4Car">
    <w:name w:val="Titre 4 Car"/>
    <w:basedOn w:val="Policepardfaut"/>
    <w:link w:val="Titre4"/>
    <w:uiPriority w:val="9"/>
    <w:rsid w:val="00EA338E"/>
    <w:rPr>
      <w:b/>
      <w:bCs/>
      <w:sz w:val="28"/>
      <w:szCs w:val="28"/>
    </w:rPr>
  </w:style>
  <w:style w:type="character" w:customStyle="1" w:styleId="Titre5Car">
    <w:name w:val="Titre 5 Car"/>
    <w:basedOn w:val="Policepardfaut"/>
    <w:link w:val="Titre5"/>
    <w:uiPriority w:val="9"/>
    <w:rsid w:val="00EA338E"/>
    <w:rPr>
      <w:rFonts w:cs="Arial"/>
      <w:b/>
      <w:bCs/>
      <w:i/>
      <w:iCs/>
      <w:sz w:val="26"/>
      <w:szCs w:val="26"/>
    </w:rPr>
  </w:style>
  <w:style w:type="character" w:customStyle="1" w:styleId="Titre6Car">
    <w:name w:val="Titre 6 Car"/>
    <w:basedOn w:val="Policepardfaut"/>
    <w:link w:val="Titre6"/>
    <w:uiPriority w:val="9"/>
    <w:rsid w:val="00EA338E"/>
    <w:rPr>
      <w:b/>
      <w:bCs/>
      <w:sz w:val="22"/>
      <w:szCs w:val="22"/>
    </w:rPr>
  </w:style>
  <w:style w:type="character" w:customStyle="1" w:styleId="Titre8Car">
    <w:name w:val="Titre 8 Car"/>
    <w:basedOn w:val="Policepardfaut"/>
    <w:link w:val="Titre8"/>
    <w:uiPriority w:val="9"/>
    <w:rsid w:val="00EA338E"/>
    <w:rPr>
      <w:rFonts w:cs="Arial"/>
      <w:i/>
      <w:iCs/>
      <w:sz w:val="24"/>
      <w:szCs w:val="24"/>
    </w:rPr>
  </w:style>
  <w:style w:type="character" w:customStyle="1" w:styleId="Titre9Car">
    <w:name w:val="Titre 9 Car"/>
    <w:basedOn w:val="Policepardfaut"/>
    <w:link w:val="Titre9"/>
    <w:uiPriority w:val="9"/>
    <w:rsid w:val="00EA338E"/>
    <w:rPr>
      <w:rFonts w:ascii="Arial" w:hAnsi="Arial" w:cs="Arial"/>
      <w:sz w:val="22"/>
      <w:szCs w:val="22"/>
    </w:rPr>
  </w:style>
  <w:style w:type="paragraph" w:styleId="Titre">
    <w:name w:val="Title"/>
    <w:basedOn w:val="Normal"/>
    <w:next w:val="Normal"/>
    <w:link w:val="TitreCar"/>
    <w:qFormat/>
    <w:rsid w:val="003B1E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3B1E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link w:val="ParagraphedelisteCar"/>
    <w:uiPriority w:val="34"/>
    <w:qFormat/>
    <w:rsid w:val="00EA338E"/>
    <w:pPr>
      <w:overflowPunct/>
      <w:autoSpaceDE/>
      <w:autoSpaceDN/>
      <w:adjustRightInd/>
      <w:spacing w:after="200" w:line="276" w:lineRule="auto"/>
      <w:ind w:left="720"/>
      <w:contextualSpacing/>
      <w:textAlignment w:val="auto"/>
    </w:pPr>
    <w:rPr>
      <w:rFonts w:ascii="Calibri" w:eastAsia="Calibri" w:hAnsi="Calibri"/>
    </w:rPr>
  </w:style>
  <w:style w:type="paragraph" w:styleId="En-ttedetabledesmatires">
    <w:name w:val="TOC Heading"/>
    <w:basedOn w:val="Titre1"/>
    <w:next w:val="Normal"/>
    <w:uiPriority w:val="39"/>
    <w:unhideWhenUsed/>
    <w:qFormat/>
    <w:rsid w:val="003B1E60"/>
    <w:pPr>
      <w:keepLines/>
      <w:numPr>
        <w:numId w:val="0"/>
      </w:numPr>
      <w:tabs>
        <w:tab w:val="clear" w:pos="1701"/>
        <w:tab w:val="clear" w:pos="6379"/>
      </w:tabs>
      <w:spacing w:before="480"/>
      <w:outlineLvl w:val="9"/>
    </w:pPr>
    <w:rPr>
      <w:rFonts w:asciiTheme="majorHAnsi" w:eastAsiaTheme="majorEastAsia" w:hAnsiTheme="majorHAnsi" w:cstheme="majorBidi"/>
      <w:b/>
      <w:bCs/>
      <w:color w:val="365F91" w:themeColor="accent1" w:themeShade="BF"/>
      <w:sz w:val="28"/>
      <w:szCs w:val="28"/>
      <w:u w:val="none"/>
    </w:rPr>
  </w:style>
  <w:style w:type="paragraph" w:customStyle="1" w:styleId="Notebasdepage">
    <w:name w:val="Note bas de page"/>
    <w:basedOn w:val="Notedebasdepage"/>
    <w:link w:val="NotebasdepageCar"/>
    <w:qFormat/>
    <w:rsid w:val="00EA338E"/>
    <w:rPr>
      <w:rFonts w:asciiTheme="minorHAnsi" w:hAnsiTheme="minorHAnsi" w:cstheme="minorHAnsi"/>
      <w:sz w:val="16"/>
    </w:rPr>
  </w:style>
  <w:style w:type="character" w:customStyle="1" w:styleId="NotebasdepageCar">
    <w:name w:val="Note bas de page Car"/>
    <w:basedOn w:val="NotedebasdepageCar"/>
    <w:link w:val="Notebasdepage"/>
    <w:rsid w:val="00EA338E"/>
    <w:rPr>
      <w:rFonts w:asciiTheme="minorHAnsi" w:hAnsiTheme="minorHAnsi" w:cstheme="minorHAnsi"/>
      <w:sz w:val="16"/>
      <w:lang w:eastAsia="fr-FR"/>
    </w:rPr>
  </w:style>
  <w:style w:type="paragraph" w:styleId="Notedebasdepage">
    <w:name w:val="footnote text"/>
    <w:basedOn w:val="Normal"/>
    <w:link w:val="NotedebasdepageCar"/>
    <w:uiPriority w:val="99"/>
    <w:semiHidden/>
    <w:unhideWhenUsed/>
    <w:rsid w:val="00EA338E"/>
    <w:rPr>
      <w:sz w:val="20"/>
    </w:rPr>
  </w:style>
  <w:style w:type="character" w:customStyle="1" w:styleId="NotedebasdepageCar">
    <w:name w:val="Note de bas de page Car"/>
    <w:basedOn w:val="Policepardfaut"/>
    <w:link w:val="Notedebasdepage"/>
    <w:uiPriority w:val="99"/>
    <w:semiHidden/>
    <w:rsid w:val="00EA338E"/>
    <w:rPr>
      <w:lang w:eastAsia="fr-FR"/>
    </w:rPr>
  </w:style>
  <w:style w:type="paragraph" w:customStyle="1" w:styleId="0ENTETE">
    <w:name w:val="0 ENTETE"/>
    <w:basedOn w:val="Normal"/>
    <w:link w:val="0ENTETECar"/>
    <w:qFormat/>
    <w:rsid w:val="005F43A6"/>
    <w:pPr>
      <w:pBdr>
        <w:bottom w:val="single" w:sz="4" w:space="1" w:color="auto"/>
      </w:pBdr>
      <w:spacing w:before="480"/>
      <w:ind w:left="0"/>
    </w:pPr>
    <w:rPr>
      <w:b/>
      <w:color w:val="000000" w:themeColor="text1"/>
      <w:sz w:val="24"/>
      <w:szCs w:val="24"/>
    </w:rPr>
  </w:style>
  <w:style w:type="character" w:customStyle="1" w:styleId="0ENTETECar">
    <w:name w:val="0 ENTETE Car"/>
    <w:basedOn w:val="Policepardfaut"/>
    <w:link w:val="0ENTETE"/>
    <w:rsid w:val="005F43A6"/>
    <w:rPr>
      <w:b/>
      <w:color w:val="000000" w:themeColor="text1"/>
      <w:sz w:val="24"/>
      <w:szCs w:val="24"/>
    </w:rPr>
  </w:style>
  <w:style w:type="paragraph" w:customStyle="1" w:styleId="1NIV1">
    <w:name w:val="1 NIV 1"/>
    <w:basedOn w:val="Normal"/>
    <w:link w:val="1NIV1Car"/>
    <w:qFormat/>
    <w:rsid w:val="005F43A6"/>
    <w:pPr>
      <w:spacing w:before="360"/>
      <w:ind w:left="0"/>
    </w:pPr>
    <w:rPr>
      <w:b/>
      <w:u w:val="single"/>
    </w:rPr>
  </w:style>
  <w:style w:type="character" w:customStyle="1" w:styleId="1NIV1Car">
    <w:name w:val="1 NIV 1 Car"/>
    <w:basedOn w:val="Policepardfaut"/>
    <w:link w:val="1NIV1"/>
    <w:rsid w:val="005F43A6"/>
    <w:rPr>
      <w:b/>
      <w:sz w:val="22"/>
      <w:szCs w:val="22"/>
      <w:u w:val="single"/>
    </w:rPr>
  </w:style>
  <w:style w:type="paragraph" w:customStyle="1" w:styleId="2NIV2">
    <w:name w:val="2 NIV 2"/>
    <w:basedOn w:val="Normal"/>
    <w:link w:val="2NIV2Car"/>
    <w:qFormat/>
    <w:rsid w:val="00387586"/>
    <w:pPr>
      <w:spacing w:before="240"/>
      <w:ind w:left="284"/>
    </w:pPr>
    <w:rPr>
      <w:b/>
      <w:u w:val="single"/>
    </w:rPr>
  </w:style>
  <w:style w:type="character" w:customStyle="1" w:styleId="2NIV2Car">
    <w:name w:val="2 NIV 2 Car"/>
    <w:basedOn w:val="Policepardfaut"/>
    <w:link w:val="2NIV2"/>
    <w:rsid w:val="00387586"/>
    <w:rPr>
      <w:b/>
      <w:sz w:val="22"/>
      <w:szCs w:val="22"/>
      <w:u w:val="single"/>
    </w:rPr>
  </w:style>
  <w:style w:type="paragraph" w:customStyle="1" w:styleId="3NIV3">
    <w:name w:val="3 NIV 3"/>
    <w:basedOn w:val="Normal"/>
    <w:link w:val="3NIV3Car"/>
    <w:qFormat/>
    <w:rsid w:val="00696509"/>
    <w:pPr>
      <w:spacing w:before="240"/>
      <w:ind w:left="567"/>
    </w:pPr>
    <w:rPr>
      <w:b/>
    </w:rPr>
  </w:style>
  <w:style w:type="character" w:customStyle="1" w:styleId="3NIV3Car">
    <w:name w:val="3 NIV 3 Car"/>
    <w:basedOn w:val="Policepardfaut"/>
    <w:link w:val="3NIV3"/>
    <w:rsid w:val="00696509"/>
    <w:rPr>
      <w:b/>
      <w:sz w:val="22"/>
      <w:szCs w:val="22"/>
    </w:rPr>
  </w:style>
  <w:style w:type="paragraph" w:customStyle="1" w:styleId="Paragraphecommentaire">
    <w:name w:val="Paragraphe commentaire"/>
    <w:basedOn w:val="Paragraphedeliste"/>
    <w:link w:val="ParagraphecommentaireCar"/>
    <w:qFormat/>
    <w:rsid w:val="00EA338E"/>
    <w:pPr>
      <w:spacing w:after="40"/>
      <w:ind w:left="284" w:hanging="284"/>
      <w:contextualSpacing w:val="0"/>
    </w:pPr>
    <w:rPr>
      <w:rFonts w:asciiTheme="minorHAnsi" w:eastAsia="Times New Roman" w:hAnsiTheme="minorHAnsi" w:cstheme="minorHAnsi"/>
    </w:rPr>
  </w:style>
  <w:style w:type="character" w:customStyle="1" w:styleId="ParagraphecommentaireCar">
    <w:name w:val="Paragraphe commentaire Car"/>
    <w:basedOn w:val="ParagraphedelisteCar"/>
    <w:link w:val="Paragraphecommentaire"/>
    <w:rsid w:val="00EA338E"/>
    <w:rPr>
      <w:rFonts w:asciiTheme="minorHAnsi" w:eastAsia="Calibri" w:hAnsiTheme="minorHAnsi" w:cstheme="minorHAnsi"/>
      <w:sz w:val="22"/>
      <w:szCs w:val="22"/>
    </w:rPr>
  </w:style>
  <w:style w:type="paragraph" w:customStyle="1" w:styleId="TexteD136">
    <w:name w:val="Texte D136"/>
    <w:basedOn w:val="Normal"/>
    <w:link w:val="TexteD136Car"/>
    <w:qFormat/>
    <w:rsid w:val="00EA338E"/>
    <w:pPr>
      <w:overflowPunct/>
      <w:autoSpaceDE/>
      <w:autoSpaceDN/>
      <w:adjustRightInd/>
      <w:spacing w:before="40" w:after="40"/>
      <w:textAlignment w:val="auto"/>
    </w:pPr>
    <w:rPr>
      <w:rFonts w:asciiTheme="minorHAnsi" w:hAnsiTheme="minorHAnsi" w:cstheme="minorHAnsi"/>
      <w:b/>
      <w:color w:val="984806" w:themeColor="accent6" w:themeShade="80"/>
      <w:sz w:val="20"/>
    </w:rPr>
  </w:style>
  <w:style w:type="character" w:customStyle="1" w:styleId="TexteD136Car">
    <w:name w:val="Texte D136 Car"/>
    <w:basedOn w:val="Policepardfaut"/>
    <w:link w:val="TexteD136"/>
    <w:rsid w:val="00EA338E"/>
    <w:rPr>
      <w:rFonts w:asciiTheme="minorHAnsi" w:hAnsiTheme="minorHAnsi" w:cstheme="minorHAnsi"/>
      <w:b/>
      <w:color w:val="984806" w:themeColor="accent6" w:themeShade="80"/>
    </w:rPr>
  </w:style>
  <w:style w:type="paragraph" w:customStyle="1" w:styleId="TexteD424">
    <w:name w:val="Texte D424"/>
    <w:basedOn w:val="Normal"/>
    <w:link w:val="TexteD424Car"/>
    <w:qFormat/>
    <w:rsid w:val="00EA338E"/>
    <w:pPr>
      <w:overflowPunct/>
      <w:autoSpaceDE/>
      <w:autoSpaceDN/>
      <w:adjustRightInd/>
      <w:spacing w:before="40" w:after="40"/>
      <w:textAlignment w:val="auto"/>
    </w:pPr>
    <w:rPr>
      <w:rFonts w:asciiTheme="minorHAnsi" w:hAnsiTheme="minorHAnsi" w:cstheme="minorHAnsi"/>
      <w:b/>
      <w:bCs/>
      <w:iCs/>
      <w:color w:val="006600"/>
      <w:sz w:val="20"/>
    </w:rPr>
  </w:style>
  <w:style w:type="character" w:customStyle="1" w:styleId="TexteD424Car">
    <w:name w:val="Texte D424 Car"/>
    <w:basedOn w:val="Policepardfaut"/>
    <w:link w:val="TexteD424"/>
    <w:rsid w:val="00EA338E"/>
    <w:rPr>
      <w:rFonts w:asciiTheme="minorHAnsi" w:hAnsiTheme="minorHAnsi" w:cstheme="minorHAnsi"/>
      <w:b/>
      <w:bCs/>
      <w:iCs/>
      <w:color w:val="006600"/>
    </w:rPr>
  </w:style>
  <w:style w:type="paragraph" w:customStyle="1" w:styleId="Listenormale">
    <w:name w:val="Liste normale"/>
    <w:basedOn w:val="Paragraphedeliste"/>
    <w:link w:val="ListenormaleCar"/>
    <w:qFormat/>
    <w:rsid w:val="00E76F6F"/>
    <w:pPr>
      <w:numPr>
        <w:numId w:val="15"/>
      </w:numPr>
      <w:spacing w:before="40" w:after="40"/>
      <w:contextualSpacing w:val="0"/>
    </w:pPr>
    <w:rPr>
      <w:rFonts w:ascii="Times New Roman" w:eastAsia="Times New Roman" w:hAnsi="Times New Roman"/>
    </w:rPr>
  </w:style>
  <w:style w:type="character" w:customStyle="1" w:styleId="ListenormaleCar">
    <w:name w:val="Liste normale Car"/>
    <w:basedOn w:val="ParagraphedelisteCar"/>
    <w:link w:val="Listenormale"/>
    <w:rsid w:val="00E76F6F"/>
    <w:rPr>
      <w:rFonts w:ascii="Calibri" w:eastAsia="Calibri" w:hAnsi="Calibri"/>
      <w:sz w:val="22"/>
      <w:szCs w:val="22"/>
    </w:rPr>
  </w:style>
  <w:style w:type="character" w:customStyle="1" w:styleId="Titre7Car">
    <w:name w:val="Titre 7 Car"/>
    <w:basedOn w:val="Policepardfaut"/>
    <w:link w:val="Titre7"/>
    <w:uiPriority w:val="9"/>
    <w:rsid w:val="00EA338E"/>
    <w:rPr>
      <w:sz w:val="24"/>
      <w:szCs w:val="24"/>
    </w:rPr>
  </w:style>
  <w:style w:type="paragraph" w:styleId="Lgende">
    <w:name w:val="caption"/>
    <w:basedOn w:val="Normal"/>
    <w:next w:val="Normal"/>
    <w:uiPriority w:val="35"/>
    <w:qFormat/>
    <w:rsid w:val="00EA338E"/>
    <w:rPr>
      <w:b/>
      <w:bCs/>
      <w:sz w:val="20"/>
    </w:rPr>
  </w:style>
  <w:style w:type="paragraph" w:styleId="Sous-titre">
    <w:name w:val="Subtitle"/>
    <w:basedOn w:val="Normal"/>
    <w:link w:val="Sous-titreCar"/>
    <w:uiPriority w:val="11"/>
    <w:qFormat/>
    <w:rsid w:val="00EA338E"/>
    <w:pPr>
      <w:overflowPunct/>
      <w:autoSpaceDE/>
      <w:autoSpaceDN/>
      <w:adjustRightInd/>
      <w:spacing w:after="60"/>
      <w:jc w:val="center"/>
      <w:textAlignment w:val="auto"/>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EA338E"/>
    <w:rPr>
      <w:rFonts w:asciiTheme="majorHAnsi" w:eastAsiaTheme="majorEastAsia" w:hAnsiTheme="majorHAnsi" w:cstheme="majorBidi"/>
      <w:sz w:val="24"/>
      <w:szCs w:val="24"/>
    </w:rPr>
  </w:style>
  <w:style w:type="character" w:styleId="lev">
    <w:name w:val="Strong"/>
    <w:basedOn w:val="Policepardfaut"/>
    <w:uiPriority w:val="22"/>
    <w:qFormat/>
    <w:rsid w:val="00EA338E"/>
    <w:rPr>
      <w:b/>
    </w:rPr>
  </w:style>
  <w:style w:type="character" w:customStyle="1" w:styleId="ParagraphedelisteCar">
    <w:name w:val="Paragraphe de liste Car"/>
    <w:basedOn w:val="Policepardfaut"/>
    <w:link w:val="Paragraphedeliste"/>
    <w:uiPriority w:val="34"/>
    <w:rsid w:val="00EA338E"/>
    <w:rPr>
      <w:rFonts w:ascii="Calibri" w:eastAsia="Calibri" w:hAnsi="Calibri"/>
      <w:sz w:val="22"/>
      <w:szCs w:val="22"/>
    </w:rPr>
  </w:style>
  <w:style w:type="character" w:styleId="Lienhypertexte">
    <w:name w:val="Hyperlink"/>
    <w:basedOn w:val="Policepardfaut"/>
    <w:uiPriority w:val="99"/>
    <w:unhideWhenUsed/>
    <w:rsid w:val="009F7193"/>
    <w:rPr>
      <w:color w:val="0000FF" w:themeColor="hyperlink"/>
      <w:u w:val="single"/>
    </w:rPr>
  </w:style>
  <w:style w:type="paragraph" w:styleId="En-tte">
    <w:name w:val="header"/>
    <w:basedOn w:val="Normal"/>
    <w:link w:val="En-tteCar"/>
    <w:uiPriority w:val="99"/>
    <w:unhideWhenUsed/>
    <w:rsid w:val="00746698"/>
    <w:pPr>
      <w:tabs>
        <w:tab w:val="center" w:pos="4536"/>
        <w:tab w:val="right" w:pos="9072"/>
      </w:tabs>
      <w:spacing w:before="0" w:after="0"/>
    </w:pPr>
  </w:style>
  <w:style w:type="character" w:customStyle="1" w:styleId="En-tteCar">
    <w:name w:val="En-tête Car"/>
    <w:basedOn w:val="Policepardfaut"/>
    <w:link w:val="En-tte"/>
    <w:uiPriority w:val="99"/>
    <w:rsid w:val="00746698"/>
    <w:rPr>
      <w:sz w:val="22"/>
      <w:szCs w:val="22"/>
    </w:rPr>
  </w:style>
  <w:style w:type="paragraph" w:styleId="Pieddepage">
    <w:name w:val="footer"/>
    <w:basedOn w:val="Normal"/>
    <w:link w:val="PieddepageCar"/>
    <w:uiPriority w:val="99"/>
    <w:unhideWhenUsed/>
    <w:rsid w:val="00746698"/>
    <w:pPr>
      <w:tabs>
        <w:tab w:val="center" w:pos="4536"/>
        <w:tab w:val="right" w:pos="9072"/>
      </w:tabs>
      <w:spacing w:before="0" w:after="0"/>
    </w:pPr>
  </w:style>
  <w:style w:type="character" w:customStyle="1" w:styleId="PieddepageCar">
    <w:name w:val="Pied de page Car"/>
    <w:basedOn w:val="Policepardfaut"/>
    <w:link w:val="Pieddepage"/>
    <w:uiPriority w:val="99"/>
    <w:rsid w:val="00746698"/>
    <w:rPr>
      <w:sz w:val="22"/>
      <w:szCs w:val="22"/>
    </w:rPr>
  </w:style>
  <w:style w:type="paragraph" w:styleId="Textedebulles">
    <w:name w:val="Balloon Text"/>
    <w:basedOn w:val="Normal"/>
    <w:link w:val="TextedebullesCar"/>
    <w:uiPriority w:val="99"/>
    <w:semiHidden/>
    <w:unhideWhenUsed/>
    <w:rsid w:val="005B569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69A"/>
    <w:rPr>
      <w:rFonts w:ascii="Tahoma" w:hAnsi="Tahoma" w:cs="Tahoma"/>
      <w:sz w:val="16"/>
      <w:szCs w:val="16"/>
    </w:rPr>
  </w:style>
  <w:style w:type="paragraph" w:customStyle="1" w:styleId="t2">
    <w:name w:val="t2"/>
    <w:basedOn w:val="Normal"/>
    <w:link w:val="t2Car"/>
    <w:qFormat/>
    <w:rsid w:val="00311F7C"/>
    <w:pPr>
      <w:overflowPunct/>
      <w:autoSpaceDE/>
      <w:autoSpaceDN/>
      <w:adjustRightInd/>
      <w:spacing w:before="0" w:after="0" w:line="245" w:lineRule="auto"/>
      <w:ind w:left="0"/>
      <w:textAlignment w:val="auto"/>
      <w:outlineLvl w:val="1"/>
    </w:pPr>
    <w:rPr>
      <w:rFonts w:eastAsia="Calibri"/>
      <w:b/>
      <w:color w:val="000000" w:themeColor="text1"/>
      <w:u w:val="single"/>
      <w:lang w:eastAsia="fr-FR"/>
    </w:rPr>
  </w:style>
  <w:style w:type="character" w:customStyle="1" w:styleId="t2Car">
    <w:name w:val="t2 Car"/>
    <w:basedOn w:val="Policepardfaut"/>
    <w:link w:val="t2"/>
    <w:rsid w:val="00311F7C"/>
    <w:rPr>
      <w:rFonts w:eastAsia="Calibri"/>
      <w:b/>
      <w:color w:val="000000" w:themeColor="text1"/>
      <w:sz w:val="22"/>
      <w:szCs w:val="22"/>
      <w:u w:val="single"/>
      <w:lang w:eastAsia="fr-FR"/>
    </w:rPr>
  </w:style>
  <w:style w:type="paragraph" w:styleId="Commentaire">
    <w:name w:val="annotation text"/>
    <w:basedOn w:val="Normal"/>
    <w:link w:val="CommentaireCar"/>
    <w:uiPriority w:val="99"/>
    <w:semiHidden/>
    <w:unhideWhenUsed/>
    <w:rsid w:val="003629D5"/>
    <w:rPr>
      <w:sz w:val="20"/>
      <w:szCs w:val="20"/>
    </w:rPr>
  </w:style>
  <w:style w:type="character" w:customStyle="1" w:styleId="CommentaireCar">
    <w:name w:val="Commentaire Car"/>
    <w:basedOn w:val="Policepardfaut"/>
    <w:link w:val="Commentaire"/>
    <w:uiPriority w:val="99"/>
    <w:semiHidden/>
    <w:rsid w:val="003629D5"/>
  </w:style>
  <w:style w:type="character" w:styleId="Marquedecommentaire">
    <w:name w:val="annotation reference"/>
    <w:rsid w:val="003629D5"/>
    <w:rPr>
      <w:sz w:val="16"/>
      <w:szCs w:val="16"/>
    </w:rPr>
  </w:style>
  <w:style w:type="paragraph" w:customStyle="1" w:styleId="NormalX">
    <w:name w:val="Normal X"/>
    <w:basedOn w:val="Normal"/>
    <w:link w:val="NormalXCar"/>
    <w:qFormat/>
    <w:rsid w:val="00E76F6F"/>
    <w:pPr>
      <w:ind w:hanging="284"/>
    </w:pPr>
  </w:style>
  <w:style w:type="paragraph" w:customStyle="1" w:styleId="Listenum">
    <w:name w:val="Liste num"/>
    <w:basedOn w:val="Listenormale"/>
    <w:link w:val="ListenumCar"/>
    <w:qFormat/>
    <w:rsid w:val="00E76F6F"/>
    <w:pPr>
      <w:numPr>
        <w:numId w:val="25"/>
      </w:numPr>
    </w:pPr>
  </w:style>
  <w:style w:type="character" w:customStyle="1" w:styleId="NormalXCar">
    <w:name w:val="Normal X Car"/>
    <w:basedOn w:val="Policepardfaut"/>
    <w:link w:val="NormalX"/>
    <w:rsid w:val="00E76F6F"/>
    <w:rPr>
      <w:sz w:val="22"/>
      <w:szCs w:val="22"/>
    </w:rPr>
  </w:style>
  <w:style w:type="paragraph" w:customStyle="1" w:styleId="Liste-X">
    <w:name w:val="Liste - X"/>
    <w:basedOn w:val="Listenormale"/>
    <w:link w:val="Liste-XCar"/>
    <w:qFormat/>
    <w:rsid w:val="00E76F6F"/>
    <w:pPr>
      <w:tabs>
        <w:tab w:val="left" w:pos="1701"/>
      </w:tabs>
      <w:ind w:left="1985" w:hanging="644"/>
    </w:pPr>
  </w:style>
  <w:style w:type="character" w:customStyle="1" w:styleId="ListenumCar">
    <w:name w:val="Liste num Car"/>
    <w:basedOn w:val="ListenormaleCar"/>
    <w:link w:val="Listenum"/>
    <w:rsid w:val="00E76F6F"/>
    <w:rPr>
      <w:rFonts w:ascii="Calibri" w:eastAsia="Calibri" w:hAnsi="Calibri"/>
      <w:sz w:val="22"/>
      <w:szCs w:val="22"/>
    </w:rPr>
  </w:style>
  <w:style w:type="paragraph" w:customStyle="1" w:styleId="Listea">
    <w:name w:val="Liste a"/>
    <w:basedOn w:val="Listenum"/>
    <w:link w:val="ListeaCar"/>
    <w:qFormat/>
    <w:rsid w:val="00157E11"/>
    <w:pPr>
      <w:numPr>
        <w:numId w:val="38"/>
      </w:numPr>
    </w:pPr>
  </w:style>
  <w:style w:type="character" w:customStyle="1" w:styleId="Liste-XCar">
    <w:name w:val="Liste - X Car"/>
    <w:basedOn w:val="ListenormaleCar"/>
    <w:link w:val="Liste-X"/>
    <w:rsid w:val="00E76F6F"/>
    <w:rPr>
      <w:rFonts w:ascii="Calibri" w:eastAsia="Calibri" w:hAnsi="Calibri"/>
      <w:sz w:val="22"/>
      <w:szCs w:val="22"/>
    </w:rPr>
  </w:style>
  <w:style w:type="paragraph" w:customStyle="1" w:styleId="ListeX">
    <w:name w:val="Liste X"/>
    <w:basedOn w:val="Liste-X"/>
    <w:link w:val="ListeXCar"/>
    <w:qFormat/>
    <w:rsid w:val="00B63DE9"/>
  </w:style>
  <w:style w:type="character" w:customStyle="1" w:styleId="ListeaCar">
    <w:name w:val="Liste a Car"/>
    <w:basedOn w:val="ListenumCar"/>
    <w:link w:val="Listea"/>
    <w:rsid w:val="00157E11"/>
    <w:rPr>
      <w:rFonts w:ascii="Calibri" w:eastAsia="Calibri" w:hAnsi="Calibri"/>
      <w:sz w:val="22"/>
      <w:szCs w:val="22"/>
    </w:rPr>
  </w:style>
  <w:style w:type="character" w:customStyle="1" w:styleId="ListeXCar">
    <w:name w:val="Liste X Car"/>
    <w:basedOn w:val="Policepardfaut"/>
    <w:link w:val="ListeX"/>
    <w:rsid w:val="00B63DE9"/>
    <w:rPr>
      <w:sz w:val="22"/>
      <w:szCs w:val="22"/>
    </w:rPr>
  </w:style>
  <w:style w:type="character" w:styleId="Lienhypertextesuivivisit">
    <w:name w:val="FollowedHyperlink"/>
    <w:basedOn w:val="Policepardfaut"/>
    <w:uiPriority w:val="99"/>
    <w:semiHidden/>
    <w:unhideWhenUsed/>
    <w:rsid w:val="002742B6"/>
    <w:rPr>
      <w:color w:val="800080" w:themeColor="followedHyperlink"/>
      <w:u w:val="single"/>
    </w:rPr>
  </w:style>
  <w:style w:type="table" w:styleId="Grilledutableau">
    <w:name w:val="Table Grid"/>
    <w:basedOn w:val="TableauNormal"/>
    <w:uiPriority w:val="59"/>
    <w:rsid w:val="0023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link w:val="NORMCar"/>
    <w:qFormat/>
    <w:rsid w:val="000E16F9"/>
    <w:pPr>
      <w:spacing w:before="40" w:after="40" w:line="276" w:lineRule="auto"/>
      <w:ind w:left="0"/>
    </w:pPr>
    <w:rPr>
      <w:rFonts w:asciiTheme="minorHAnsi" w:hAnsiTheme="minorHAnsi"/>
      <w:sz w:val="20"/>
      <w:szCs w:val="20"/>
    </w:rPr>
  </w:style>
  <w:style w:type="character" w:customStyle="1" w:styleId="NORMCar">
    <w:name w:val="NORM Car"/>
    <w:basedOn w:val="Policepardfaut"/>
    <w:link w:val="NORM"/>
    <w:rsid w:val="000E16F9"/>
    <w:rPr>
      <w:rFonts w:asciiTheme="minorHAnsi" w:hAnsiTheme="minorHAnsi"/>
    </w:rPr>
  </w:style>
  <w:style w:type="table" w:styleId="Tableaucolor2">
    <w:name w:val="Table Colorful 2"/>
    <w:basedOn w:val="TableauNormal"/>
    <w:uiPriority w:val="99"/>
    <w:semiHidden/>
    <w:rsid w:val="00721132"/>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TM1">
    <w:name w:val="toc 1"/>
    <w:basedOn w:val="Normal"/>
    <w:next w:val="Normal"/>
    <w:autoRedefine/>
    <w:uiPriority w:val="39"/>
    <w:unhideWhenUsed/>
    <w:rsid w:val="002565F1"/>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2565F1"/>
    <w:pPr>
      <w:spacing w:before="0"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2565F1"/>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2565F1"/>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2565F1"/>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2565F1"/>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2565F1"/>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2565F1"/>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2565F1"/>
    <w:pPr>
      <w:spacing w:before="0" w:after="0"/>
      <w:ind w:left="1760"/>
      <w:jc w:val="left"/>
    </w:pPr>
    <w:rPr>
      <w:rFonts w:asciiTheme="minorHAnsi" w:hAnsiTheme="minorHAnsi" w:cstheme="minorHAnsi"/>
      <w:sz w:val="18"/>
      <w:szCs w:val="18"/>
    </w:rPr>
  </w:style>
  <w:style w:type="paragraph" w:customStyle="1" w:styleId="ANXNIV1">
    <w:name w:val="ANX NIV1"/>
    <w:basedOn w:val="1NIV1"/>
    <w:link w:val="ANXNIV1Car"/>
    <w:qFormat/>
    <w:rsid w:val="002565F1"/>
    <w:rPr>
      <w:lang w:eastAsia="fr-FR"/>
    </w:rPr>
  </w:style>
  <w:style w:type="paragraph" w:customStyle="1" w:styleId="ANXNIV3">
    <w:name w:val="ANX NIV3"/>
    <w:basedOn w:val="3NIV3"/>
    <w:link w:val="ANXNIV3Car"/>
    <w:qFormat/>
    <w:rsid w:val="002565F1"/>
  </w:style>
  <w:style w:type="character" w:customStyle="1" w:styleId="ANXNIV1Car">
    <w:name w:val="ANX NIV1 Car"/>
    <w:basedOn w:val="1NIV1Car"/>
    <w:link w:val="ANXNIV1"/>
    <w:rsid w:val="002565F1"/>
    <w:rPr>
      <w:b/>
      <w:sz w:val="22"/>
      <w:szCs w:val="22"/>
      <w:u w:val="single"/>
      <w:lang w:eastAsia="fr-FR"/>
    </w:rPr>
  </w:style>
  <w:style w:type="paragraph" w:customStyle="1" w:styleId="ANXNIV0">
    <w:name w:val="ANX NIV0"/>
    <w:basedOn w:val="0ENTETE"/>
    <w:link w:val="ANXNIV0Car"/>
    <w:qFormat/>
    <w:rsid w:val="002565F1"/>
  </w:style>
  <w:style w:type="character" w:customStyle="1" w:styleId="ANXNIV3Car">
    <w:name w:val="ANX NIV3 Car"/>
    <w:basedOn w:val="3NIV3Car"/>
    <w:link w:val="ANXNIV3"/>
    <w:rsid w:val="002565F1"/>
    <w:rPr>
      <w:b/>
      <w:sz w:val="22"/>
      <w:szCs w:val="22"/>
    </w:rPr>
  </w:style>
  <w:style w:type="character" w:customStyle="1" w:styleId="ANXNIV0Car">
    <w:name w:val="ANX NIV0 Car"/>
    <w:basedOn w:val="0ENTETECar"/>
    <w:link w:val="ANXNIV0"/>
    <w:rsid w:val="002565F1"/>
    <w:rPr>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938444">
      <w:bodyDiv w:val="1"/>
      <w:marLeft w:val="0"/>
      <w:marRight w:val="0"/>
      <w:marTop w:val="0"/>
      <w:marBottom w:val="0"/>
      <w:divBdr>
        <w:top w:val="none" w:sz="0" w:space="0" w:color="auto"/>
        <w:left w:val="none" w:sz="0" w:space="0" w:color="auto"/>
        <w:bottom w:val="none" w:sz="0" w:space="0" w:color="auto"/>
        <w:right w:val="none" w:sz="0" w:space="0" w:color="auto"/>
      </w:divBdr>
    </w:div>
    <w:div w:id="1209758128">
      <w:bodyDiv w:val="1"/>
      <w:marLeft w:val="0"/>
      <w:marRight w:val="0"/>
      <w:marTop w:val="0"/>
      <w:marBottom w:val="0"/>
      <w:divBdr>
        <w:top w:val="none" w:sz="0" w:space="0" w:color="auto"/>
        <w:left w:val="none" w:sz="0" w:space="0" w:color="auto"/>
        <w:bottom w:val="none" w:sz="0" w:space="0" w:color="auto"/>
        <w:right w:val="none" w:sz="0" w:space="0" w:color="auto"/>
      </w:divBdr>
      <w:divsChild>
        <w:div w:id="66054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1.png"/><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image" Target="media/image8.png"/><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7.png"/><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header" Target="header7.xml"/><Relationship Id="rId10" Type="http://schemas.openxmlformats.org/officeDocument/2006/relationships/hyperlink" Target="https://rcnc.gouv.nc/normes-et-materiaux/liste-des-normes-afnor-applicables-en-nc" TargetMode="External"/><Relationship Id="rId19" Type="http://schemas.openxmlformats.org/officeDocument/2006/relationships/header" Target="header4.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juridoc.gouv.nc"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A2C0-0E91-4EF5-9FD1-7C7A68A2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58</Pages>
  <Words>14967</Words>
  <Characters>82319</Characters>
  <Application>Microsoft Office Word</Application>
  <DocSecurity>0</DocSecurity>
  <Lines>685</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PERRY</dc:creator>
  <cp:keywords/>
  <dc:description/>
  <cp:lastModifiedBy>Jean-Marc PERRY</cp:lastModifiedBy>
  <cp:revision>43</cp:revision>
  <cp:lastPrinted>2020-09-30T11:00:00Z</cp:lastPrinted>
  <dcterms:created xsi:type="dcterms:W3CDTF">2020-11-15T14:45:00Z</dcterms:created>
  <dcterms:modified xsi:type="dcterms:W3CDTF">2020-12-31T04:05:00Z</dcterms:modified>
</cp:coreProperties>
</file>