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BC0DBA" w:rsidRDefault="005F11D2" w:rsidP="004C6EE4">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BC0DBA" w:rsidRDefault="005F11D2" w:rsidP="004C6EE4">
            <w:pPr>
              <w:spacing w:line="245" w:lineRule="auto"/>
              <w:ind w:left="142"/>
              <w:jc w:val="center"/>
              <w:rPr>
                <w:color w:val="0070C0"/>
                <w:sz w:val="18"/>
              </w:rPr>
            </w:pPr>
            <w:r w:rsidRPr="00BC0DBA">
              <w:rPr>
                <w:color w:val="0070C0"/>
                <w:sz w:val="18"/>
              </w:rPr>
              <w:t>COLLECTIVITE</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DIRECTION </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SERVICE </w:t>
            </w:r>
          </w:p>
          <w:p w:rsidR="005F11D2" w:rsidRPr="00BC0DBA" w:rsidRDefault="005F11D2" w:rsidP="004C6EE4">
            <w:pPr>
              <w:spacing w:line="245" w:lineRule="auto"/>
              <w:ind w:left="142"/>
              <w:jc w:val="center"/>
              <w:rPr>
                <w:color w:val="0070C0"/>
                <w:sz w:val="18"/>
              </w:rPr>
            </w:pPr>
          </w:p>
          <w:p w:rsidR="005F11D2" w:rsidRPr="00BC0DBA" w:rsidRDefault="005F11D2" w:rsidP="004C6EE4">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BB6A66" w:rsidRDefault="005F11D2" w:rsidP="005F11D2">
      <w:pPr>
        <w:ind w:left="0"/>
        <w:jc w:val="center"/>
        <w:rPr>
          <w:b/>
          <w:color w:val="0070C0"/>
        </w:rPr>
      </w:pPr>
      <w:r w:rsidRPr="00BB6A66">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936371"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2149" w:history="1">
            <w:r w:rsidR="00936371" w:rsidRPr="0029693F">
              <w:rPr>
                <w:rStyle w:val="Lienhypertexte"/>
                <w:rFonts w:eastAsiaTheme="majorEastAsia"/>
                <w:noProof/>
              </w:rPr>
              <w:t>ARTICLE 1 – OBJET ET CARACTERISTIQUES DU MARCHÉ</w:t>
            </w:r>
            <w:r w:rsidR="00936371">
              <w:rPr>
                <w:noProof/>
                <w:webHidden/>
              </w:rPr>
              <w:tab/>
            </w:r>
            <w:r w:rsidR="00936371">
              <w:rPr>
                <w:noProof/>
                <w:webHidden/>
              </w:rPr>
              <w:fldChar w:fldCharType="begin"/>
            </w:r>
            <w:r w:rsidR="00936371">
              <w:rPr>
                <w:noProof/>
                <w:webHidden/>
              </w:rPr>
              <w:instrText xml:space="preserve"> PAGEREF _Toc64622149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0" w:history="1">
            <w:r w:rsidR="00936371" w:rsidRPr="0029693F">
              <w:rPr>
                <w:rStyle w:val="Lienhypertexte"/>
                <w:rFonts w:eastAsiaTheme="majorEastAsia"/>
                <w:noProof/>
              </w:rPr>
              <w:t>1.1 – OBJET DU MARCHE</w:t>
            </w:r>
            <w:r w:rsidR="00936371">
              <w:rPr>
                <w:noProof/>
                <w:webHidden/>
              </w:rPr>
              <w:tab/>
            </w:r>
            <w:r w:rsidR="00936371">
              <w:rPr>
                <w:noProof/>
                <w:webHidden/>
              </w:rPr>
              <w:fldChar w:fldCharType="begin"/>
            </w:r>
            <w:r w:rsidR="00936371">
              <w:rPr>
                <w:noProof/>
                <w:webHidden/>
              </w:rPr>
              <w:instrText xml:space="preserve"> PAGEREF _Toc64622150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1" w:history="1">
            <w:r w:rsidR="00936371" w:rsidRPr="0029693F">
              <w:rPr>
                <w:rStyle w:val="Lienhypertexte"/>
                <w:rFonts w:eastAsiaTheme="majorEastAsia"/>
                <w:noProof/>
              </w:rPr>
              <w:t>1.2 – LOTS</w:t>
            </w:r>
            <w:r w:rsidR="00936371">
              <w:rPr>
                <w:noProof/>
                <w:webHidden/>
              </w:rPr>
              <w:tab/>
            </w:r>
            <w:r w:rsidR="00936371">
              <w:rPr>
                <w:noProof/>
                <w:webHidden/>
              </w:rPr>
              <w:fldChar w:fldCharType="begin"/>
            </w:r>
            <w:r w:rsidR="00936371">
              <w:rPr>
                <w:noProof/>
                <w:webHidden/>
              </w:rPr>
              <w:instrText xml:space="preserve"> PAGEREF _Toc64622151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2" w:history="1">
            <w:r w:rsidR="00936371" w:rsidRPr="0029693F">
              <w:rPr>
                <w:rStyle w:val="Lienhypertexte"/>
                <w:rFonts w:eastAsiaTheme="majorEastAsia"/>
                <w:noProof/>
              </w:rPr>
              <w:t>1.3 – TRANCHES</w:t>
            </w:r>
            <w:r w:rsidR="00936371">
              <w:rPr>
                <w:noProof/>
                <w:webHidden/>
              </w:rPr>
              <w:tab/>
            </w:r>
            <w:r w:rsidR="00936371">
              <w:rPr>
                <w:noProof/>
                <w:webHidden/>
              </w:rPr>
              <w:fldChar w:fldCharType="begin"/>
            </w:r>
            <w:r w:rsidR="00936371">
              <w:rPr>
                <w:noProof/>
                <w:webHidden/>
              </w:rPr>
              <w:instrText xml:space="preserve"> PAGEREF _Toc64622152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3" w:history="1">
            <w:r w:rsidR="00936371" w:rsidRPr="0029693F">
              <w:rPr>
                <w:rStyle w:val="Lienhypertexte"/>
                <w:rFonts w:eastAsiaTheme="majorEastAsia"/>
                <w:noProof/>
              </w:rPr>
              <w:t>1.4 –OPTIONS</w:t>
            </w:r>
            <w:r w:rsidR="00936371">
              <w:rPr>
                <w:noProof/>
                <w:webHidden/>
              </w:rPr>
              <w:tab/>
            </w:r>
            <w:r w:rsidR="00936371">
              <w:rPr>
                <w:noProof/>
                <w:webHidden/>
              </w:rPr>
              <w:fldChar w:fldCharType="begin"/>
            </w:r>
            <w:r w:rsidR="00936371">
              <w:rPr>
                <w:noProof/>
                <w:webHidden/>
              </w:rPr>
              <w:instrText xml:space="preserve"> PAGEREF _Toc64622153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4" w:history="1">
            <w:r w:rsidR="00936371" w:rsidRPr="0029693F">
              <w:rPr>
                <w:rStyle w:val="Lienhypertexte"/>
                <w:rFonts w:eastAsiaTheme="majorEastAsia"/>
                <w:noProof/>
              </w:rPr>
              <w:t>1.5 – FORME PARTICULIERE DU MARCHE</w:t>
            </w:r>
            <w:r w:rsidR="00936371">
              <w:rPr>
                <w:noProof/>
                <w:webHidden/>
              </w:rPr>
              <w:tab/>
            </w:r>
            <w:r w:rsidR="00936371">
              <w:rPr>
                <w:noProof/>
                <w:webHidden/>
              </w:rPr>
              <w:fldChar w:fldCharType="begin"/>
            </w:r>
            <w:r w:rsidR="00936371">
              <w:rPr>
                <w:noProof/>
                <w:webHidden/>
              </w:rPr>
              <w:instrText xml:space="preserve"> PAGEREF _Toc64622154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5" w:history="1">
            <w:r w:rsidR="00936371" w:rsidRPr="0029693F">
              <w:rPr>
                <w:rStyle w:val="Lienhypertexte"/>
                <w:rFonts w:eastAsiaTheme="majorEastAsia"/>
                <w:noProof/>
              </w:rPr>
              <w:t>1.6 – APPELLATION</w:t>
            </w:r>
            <w:r w:rsidR="00936371">
              <w:rPr>
                <w:noProof/>
                <w:webHidden/>
              </w:rPr>
              <w:tab/>
            </w:r>
            <w:r w:rsidR="00936371">
              <w:rPr>
                <w:noProof/>
                <w:webHidden/>
              </w:rPr>
              <w:fldChar w:fldCharType="begin"/>
            </w:r>
            <w:r w:rsidR="00936371">
              <w:rPr>
                <w:noProof/>
                <w:webHidden/>
              </w:rPr>
              <w:instrText xml:space="preserve"> PAGEREF _Toc64622155 \h </w:instrText>
            </w:r>
            <w:r w:rsidR="00936371">
              <w:rPr>
                <w:noProof/>
                <w:webHidden/>
              </w:rPr>
            </w:r>
            <w:r w:rsidR="00936371">
              <w:rPr>
                <w:noProof/>
                <w:webHidden/>
              </w:rPr>
              <w:fldChar w:fldCharType="separate"/>
            </w:r>
            <w:r w:rsidR="00936371">
              <w:rPr>
                <w:noProof/>
                <w:webHidden/>
              </w:rPr>
              <w:t>5</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156" w:history="1">
            <w:r w:rsidR="00936371" w:rsidRPr="0029693F">
              <w:rPr>
                <w:rStyle w:val="Lienhypertexte"/>
                <w:rFonts w:eastAsiaTheme="majorEastAsia"/>
                <w:noProof/>
              </w:rPr>
              <w:t>ARTICLE 2 – PARTIES PRENANTES</w:t>
            </w:r>
            <w:r w:rsidR="00936371">
              <w:rPr>
                <w:noProof/>
                <w:webHidden/>
              </w:rPr>
              <w:tab/>
            </w:r>
            <w:r w:rsidR="00936371">
              <w:rPr>
                <w:noProof/>
                <w:webHidden/>
              </w:rPr>
              <w:fldChar w:fldCharType="begin"/>
            </w:r>
            <w:r w:rsidR="00936371">
              <w:rPr>
                <w:noProof/>
                <w:webHidden/>
              </w:rPr>
              <w:instrText xml:space="preserve"> PAGEREF _Toc64622156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57" w:history="1">
            <w:r w:rsidR="00936371" w:rsidRPr="0029693F">
              <w:rPr>
                <w:rStyle w:val="Lienhypertexte"/>
                <w:rFonts w:eastAsiaTheme="majorEastAsia"/>
                <w:noProof/>
              </w:rPr>
              <w:t>2.1 – ACHETEUR PUBLIC</w:t>
            </w:r>
            <w:r w:rsidR="00936371">
              <w:rPr>
                <w:noProof/>
                <w:webHidden/>
              </w:rPr>
              <w:tab/>
            </w:r>
            <w:r w:rsidR="00936371">
              <w:rPr>
                <w:noProof/>
                <w:webHidden/>
              </w:rPr>
              <w:fldChar w:fldCharType="begin"/>
            </w:r>
            <w:r w:rsidR="00936371">
              <w:rPr>
                <w:noProof/>
                <w:webHidden/>
              </w:rPr>
              <w:instrText xml:space="preserve"> PAGEREF _Toc64622157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58" w:history="1">
            <w:r w:rsidR="00936371" w:rsidRPr="0029693F">
              <w:rPr>
                <w:rStyle w:val="Lienhypertexte"/>
                <w:rFonts w:eastAsiaTheme="majorEastAsia"/>
                <w:noProof/>
              </w:rPr>
              <w:t>2.1.1 – Acheteur public</w:t>
            </w:r>
            <w:r w:rsidR="00936371">
              <w:rPr>
                <w:noProof/>
                <w:webHidden/>
              </w:rPr>
              <w:tab/>
            </w:r>
            <w:r w:rsidR="00936371">
              <w:rPr>
                <w:noProof/>
                <w:webHidden/>
              </w:rPr>
              <w:fldChar w:fldCharType="begin"/>
            </w:r>
            <w:r w:rsidR="00936371">
              <w:rPr>
                <w:noProof/>
                <w:webHidden/>
              </w:rPr>
              <w:instrText xml:space="preserve"> PAGEREF _Toc64622158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59" w:history="1">
            <w:r w:rsidR="00936371" w:rsidRPr="0029693F">
              <w:rPr>
                <w:rStyle w:val="Lienhypertexte"/>
                <w:rFonts w:eastAsiaTheme="majorEastAsia"/>
                <w:noProof/>
              </w:rPr>
              <w:t>2.1.2 – Directeur du financement</w:t>
            </w:r>
            <w:r w:rsidR="00936371">
              <w:rPr>
                <w:noProof/>
                <w:webHidden/>
              </w:rPr>
              <w:tab/>
            </w:r>
            <w:r w:rsidR="00936371">
              <w:rPr>
                <w:noProof/>
                <w:webHidden/>
              </w:rPr>
              <w:fldChar w:fldCharType="begin"/>
            </w:r>
            <w:r w:rsidR="00936371">
              <w:rPr>
                <w:noProof/>
                <w:webHidden/>
              </w:rPr>
              <w:instrText xml:space="preserve"> PAGEREF _Toc64622159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60" w:history="1">
            <w:r w:rsidR="00936371" w:rsidRPr="0029693F">
              <w:rPr>
                <w:rStyle w:val="Lienhypertexte"/>
                <w:rFonts w:eastAsiaTheme="majorEastAsia"/>
                <w:noProof/>
              </w:rPr>
              <w:t>2.1.3 – Personne responsable du marché, référent du marché</w:t>
            </w:r>
            <w:r w:rsidR="00936371">
              <w:rPr>
                <w:noProof/>
                <w:webHidden/>
              </w:rPr>
              <w:tab/>
            </w:r>
            <w:r w:rsidR="00936371">
              <w:rPr>
                <w:noProof/>
                <w:webHidden/>
              </w:rPr>
              <w:fldChar w:fldCharType="begin"/>
            </w:r>
            <w:r w:rsidR="00936371">
              <w:rPr>
                <w:noProof/>
                <w:webHidden/>
              </w:rPr>
              <w:instrText xml:space="preserve"> PAGEREF _Toc64622160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61" w:history="1">
            <w:r w:rsidR="00936371" w:rsidRPr="0029693F">
              <w:rPr>
                <w:rStyle w:val="Lienhypertexte"/>
                <w:rFonts w:eastAsiaTheme="majorEastAsia"/>
                <w:noProof/>
              </w:rPr>
              <w:t>2.1.4 – Référent interne</w:t>
            </w:r>
            <w:r w:rsidR="00936371">
              <w:rPr>
                <w:noProof/>
                <w:webHidden/>
              </w:rPr>
              <w:tab/>
            </w:r>
            <w:r w:rsidR="00936371">
              <w:rPr>
                <w:noProof/>
                <w:webHidden/>
              </w:rPr>
              <w:fldChar w:fldCharType="begin"/>
            </w:r>
            <w:r w:rsidR="00936371">
              <w:rPr>
                <w:noProof/>
                <w:webHidden/>
              </w:rPr>
              <w:instrText xml:space="preserve"> PAGEREF _Toc64622161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62" w:history="1">
            <w:r w:rsidR="00936371" w:rsidRPr="0029693F">
              <w:rPr>
                <w:rStyle w:val="Lienhypertexte"/>
                <w:rFonts w:eastAsiaTheme="majorEastAsia"/>
                <w:noProof/>
              </w:rPr>
              <w:t>2.2 – TITULAIRE</w:t>
            </w:r>
            <w:r w:rsidR="00936371">
              <w:rPr>
                <w:noProof/>
                <w:webHidden/>
              </w:rPr>
              <w:tab/>
            </w:r>
            <w:r w:rsidR="00936371">
              <w:rPr>
                <w:noProof/>
                <w:webHidden/>
              </w:rPr>
              <w:fldChar w:fldCharType="begin"/>
            </w:r>
            <w:r w:rsidR="00936371">
              <w:rPr>
                <w:noProof/>
                <w:webHidden/>
              </w:rPr>
              <w:instrText xml:space="preserve"> PAGEREF _Toc64622162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63" w:history="1">
            <w:r w:rsidR="00936371" w:rsidRPr="0029693F">
              <w:rPr>
                <w:rStyle w:val="Lienhypertexte"/>
                <w:rFonts w:eastAsiaTheme="majorEastAsia"/>
                <w:noProof/>
              </w:rPr>
              <w:t>2.2.1 – Considérations générales</w:t>
            </w:r>
            <w:r w:rsidR="00936371">
              <w:rPr>
                <w:noProof/>
                <w:webHidden/>
              </w:rPr>
              <w:tab/>
            </w:r>
            <w:r w:rsidR="00936371">
              <w:rPr>
                <w:noProof/>
                <w:webHidden/>
              </w:rPr>
              <w:fldChar w:fldCharType="begin"/>
            </w:r>
            <w:r w:rsidR="00936371">
              <w:rPr>
                <w:noProof/>
                <w:webHidden/>
              </w:rPr>
              <w:instrText xml:space="preserve"> PAGEREF _Toc64622163 \h </w:instrText>
            </w:r>
            <w:r w:rsidR="00936371">
              <w:rPr>
                <w:noProof/>
                <w:webHidden/>
              </w:rPr>
            </w:r>
            <w:r w:rsidR="00936371">
              <w:rPr>
                <w:noProof/>
                <w:webHidden/>
              </w:rPr>
              <w:fldChar w:fldCharType="separate"/>
            </w:r>
            <w:r w:rsidR="00936371">
              <w:rPr>
                <w:noProof/>
                <w:webHidden/>
              </w:rPr>
              <w:t>6</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64" w:history="1">
            <w:r w:rsidR="00936371" w:rsidRPr="0029693F">
              <w:rPr>
                <w:rStyle w:val="Lienhypertexte"/>
                <w:rFonts w:eastAsiaTheme="majorEastAsia"/>
                <w:noProof/>
              </w:rPr>
              <w:t>2.2.2 – Groupement</w:t>
            </w:r>
            <w:r w:rsidR="00936371">
              <w:rPr>
                <w:noProof/>
                <w:webHidden/>
              </w:rPr>
              <w:tab/>
            </w:r>
            <w:r w:rsidR="00936371">
              <w:rPr>
                <w:noProof/>
                <w:webHidden/>
              </w:rPr>
              <w:fldChar w:fldCharType="begin"/>
            </w:r>
            <w:r w:rsidR="00936371">
              <w:rPr>
                <w:noProof/>
                <w:webHidden/>
              </w:rPr>
              <w:instrText xml:space="preserve"> PAGEREF _Toc64622164 \h </w:instrText>
            </w:r>
            <w:r w:rsidR="00936371">
              <w:rPr>
                <w:noProof/>
                <w:webHidden/>
              </w:rPr>
            </w:r>
            <w:r w:rsidR="00936371">
              <w:rPr>
                <w:noProof/>
                <w:webHidden/>
              </w:rPr>
              <w:fldChar w:fldCharType="separate"/>
            </w:r>
            <w:r w:rsidR="00936371">
              <w:rPr>
                <w:noProof/>
                <w:webHidden/>
              </w:rPr>
              <w:t>7</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65" w:history="1">
            <w:r w:rsidR="00936371" w:rsidRPr="0029693F">
              <w:rPr>
                <w:rStyle w:val="Lienhypertexte"/>
                <w:rFonts w:eastAsiaTheme="majorEastAsia"/>
                <w:noProof/>
              </w:rPr>
              <w:t>Si les prestations sont divisées en lots dont chacun est assigné, avec son prix, à l'un des membres (cotraitants) du groupement, il s’agit d’un groupement conjoint :</w:t>
            </w:r>
            <w:r w:rsidR="00936371">
              <w:rPr>
                <w:noProof/>
                <w:webHidden/>
              </w:rPr>
              <w:tab/>
            </w:r>
            <w:r w:rsidR="00936371">
              <w:rPr>
                <w:noProof/>
                <w:webHidden/>
              </w:rPr>
              <w:fldChar w:fldCharType="begin"/>
            </w:r>
            <w:r w:rsidR="00936371">
              <w:rPr>
                <w:noProof/>
                <w:webHidden/>
              </w:rPr>
              <w:instrText xml:space="preserve"> PAGEREF _Toc64622165 \h </w:instrText>
            </w:r>
            <w:r w:rsidR="00936371">
              <w:rPr>
                <w:noProof/>
                <w:webHidden/>
              </w:rPr>
            </w:r>
            <w:r w:rsidR="00936371">
              <w:rPr>
                <w:noProof/>
                <w:webHidden/>
              </w:rPr>
              <w:fldChar w:fldCharType="separate"/>
            </w:r>
            <w:r w:rsidR="00936371">
              <w:rPr>
                <w:noProof/>
                <w:webHidden/>
              </w:rPr>
              <w:t>7</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66" w:history="1">
            <w:r w:rsidR="00936371" w:rsidRPr="0029693F">
              <w:rPr>
                <w:rStyle w:val="Lienhypertexte"/>
                <w:rFonts w:eastAsiaTheme="majorEastAsia"/>
                <w:noProof/>
              </w:rPr>
              <w:t>Si les prestations du marché ne sont pas divisées en lots, il s’agit d’un groupement solidaire :</w:t>
            </w:r>
            <w:r w:rsidR="00936371">
              <w:rPr>
                <w:noProof/>
                <w:webHidden/>
              </w:rPr>
              <w:tab/>
            </w:r>
            <w:r w:rsidR="00936371">
              <w:rPr>
                <w:noProof/>
                <w:webHidden/>
              </w:rPr>
              <w:fldChar w:fldCharType="begin"/>
            </w:r>
            <w:r w:rsidR="00936371">
              <w:rPr>
                <w:noProof/>
                <w:webHidden/>
              </w:rPr>
              <w:instrText xml:space="preserve"> PAGEREF _Toc64622166 \h </w:instrText>
            </w:r>
            <w:r w:rsidR="00936371">
              <w:rPr>
                <w:noProof/>
                <w:webHidden/>
              </w:rPr>
            </w:r>
            <w:r w:rsidR="00936371">
              <w:rPr>
                <w:noProof/>
                <w:webHidden/>
              </w:rPr>
              <w:fldChar w:fldCharType="separate"/>
            </w:r>
            <w:r w:rsidR="00936371">
              <w:rPr>
                <w:noProof/>
                <w:webHidden/>
              </w:rPr>
              <w:t>7</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67" w:history="1">
            <w:r w:rsidR="00936371" w:rsidRPr="0029693F">
              <w:rPr>
                <w:rStyle w:val="Lienhypertexte"/>
                <w:rFonts w:eastAsiaTheme="majorEastAsia"/>
                <w:noProof/>
              </w:rPr>
              <w:t>* Solidarité</w:t>
            </w:r>
            <w:r w:rsidR="00936371">
              <w:rPr>
                <w:noProof/>
                <w:webHidden/>
              </w:rPr>
              <w:tab/>
            </w:r>
            <w:r w:rsidR="00936371">
              <w:rPr>
                <w:noProof/>
                <w:webHidden/>
              </w:rPr>
              <w:fldChar w:fldCharType="begin"/>
            </w:r>
            <w:r w:rsidR="00936371">
              <w:rPr>
                <w:noProof/>
                <w:webHidden/>
              </w:rPr>
              <w:instrText xml:space="preserve"> PAGEREF _Toc64622167 \h </w:instrText>
            </w:r>
            <w:r w:rsidR="00936371">
              <w:rPr>
                <w:noProof/>
                <w:webHidden/>
              </w:rPr>
            </w:r>
            <w:r w:rsidR="00936371">
              <w:rPr>
                <w:noProof/>
                <w:webHidden/>
              </w:rPr>
              <w:fldChar w:fldCharType="separate"/>
            </w:r>
            <w:r w:rsidR="00936371">
              <w:rPr>
                <w:noProof/>
                <w:webHidden/>
              </w:rPr>
              <w:t>7</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68" w:history="1">
            <w:r w:rsidR="00936371" w:rsidRPr="0029693F">
              <w:rPr>
                <w:rStyle w:val="Lienhypertexte"/>
                <w:rFonts w:eastAsiaTheme="majorEastAsia"/>
                <w:noProof/>
              </w:rPr>
              <w:t>Désignation du mandataire</w:t>
            </w:r>
            <w:r w:rsidR="00936371">
              <w:rPr>
                <w:noProof/>
                <w:webHidden/>
              </w:rPr>
              <w:tab/>
            </w:r>
            <w:r w:rsidR="00936371">
              <w:rPr>
                <w:noProof/>
                <w:webHidden/>
              </w:rPr>
              <w:fldChar w:fldCharType="begin"/>
            </w:r>
            <w:r w:rsidR="00936371">
              <w:rPr>
                <w:noProof/>
                <w:webHidden/>
              </w:rPr>
              <w:instrText xml:space="preserve"> PAGEREF _Toc64622168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69" w:history="1">
            <w:r w:rsidR="00936371" w:rsidRPr="0029693F">
              <w:rPr>
                <w:rStyle w:val="Lienhypertexte"/>
                <w:rFonts w:eastAsiaTheme="majorEastAsia"/>
                <w:noProof/>
              </w:rPr>
              <w:t>Groupement dans un groupement</w:t>
            </w:r>
            <w:r w:rsidR="00936371">
              <w:rPr>
                <w:noProof/>
                <w:webHidden/>
              </w:rPr>
              <w:tab/>
            </w:r>
            <w:r w:rsidR="00936371">
              <w:rPr>
                <w:noProof/>
                <w:webHidden/>
              </w:rPr>
              <w:fldChar w:fldCharType="begin"/>
            </w:r>
            <w:r w:rsidR="00936371">
              <w:rPr>
                <w:noProof/>
                <w:webHidden/>
              </w:rPr>
              <w:instrText xml:space="preserve"> PAGEREF _Toc64622169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70" w:history="1">
            <w:r w:rsidR="00936371" w:rsidRPr="0029693F">
              <w:rPr>
                <w:rStyle w:val="Lienhypertexte"/>
                <w:rFonts w:eastAsiaTheme="majorEastAsia"/>
                <w:noProof/>
              </w:rPr>
              <w:t>2.2.3 – Sous-traitance</w:t>
            </w:r>
            <w:r w:rsidR="00936371">
              <w:rPr>
                <w:noProof/>
                <w:webHidden/>
              </w:rPr>
              <w:tab/>
            </w:r>
            <w:r w:rsidR="00936371">
              <w:rPr>
                <w:noProof/>
                <w:webHidden/>
              </w:rPr>
              <w:fldChar w:fldCharType="begin"/>
            </w:r>
            <w:r w:rsidR="00936371">
              <w:rPr>
                <w:noProof/>
                <w:webHidden/>
              </w:rPr>
              <w:instrText xml:space="preserve"> PAGEREF _Toc64622170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1" w:history="1">
            <w:r w:rsidR="00936371" w:rsidRPr="0029693F">
              <w:rPr>
                <w:rStyle w:val="Lienhypertexte"/>
                <w:rFonts w:eastAsiaTheme="majorEastAsia"/>
                <w:noProof/>
              </w:rPr>
              <w:t>2.2.3.1 – Obligations préalables</w:t>
            </w:r>
            <w:r w:rsidR="00936371">
              <w:rPr>
                <w:noProof/>
                <w:webHidden/>
              </w:rPr>
              <w:tab/>
            </w:r>
            <w:r w:rsidR="00936371">
              <w:rPr>
                <w:noProof/>
                <w:webHidden/>
              </w:rPr>
              <w:fldChar w:fldCharType="begin"/>
            </w:r>
            <w:r w:rsidR="00936371">
              <w:rPr>
                <w:noProof/>
                <w:webHidden/>
              </w:rPr>
              <w:instrText xml:space="preserve"> PAGEREF _Toc64622171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2" w:history="1">
            <w:r w:rsidR="00936371" w:rsidRPr="0029693F">
              <w:rPr>
                <w:rStyle w:val="Lienhypertexte"/>
                <w:rFonts w:eastAsiaTheme="majorEastAsia"/>
                <w:noProof/>
              </w:rPr>
              <w:t>2.2.3.2 - Responsabilités</w:t>
            </w:r>
            <w:r w:rsidR="00936371">
              <w:rPr>
                <w:noProof/>
                <w:webHidden/>
              </w:rPr>
              <w:tab/>
            </w:r>
            <w:r w:rsidR="00936371">
              <w:rPr>
                <w:noProof/>
                <w:webHidden/>
              </w:rPr>
              <w:fldChar w:fldCharType="begin"/>
            </w:r>
            <w:r w:rsidR="00936371">
              <w:rPr>
                <w:noProof/>
                <w:webHidden/>
              </w:rPr>
              <w:instrText xml:space="preserve"> PAGEREF _Toc64622172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3" w:history="1">
            <w:r w:rsidR="00936371" w:rsidRPr="0029693F">
              <w:rPr>
                <w:rStyle w:val="Lienhypertexte"/>
                <w:rFonts w:eastAsiaTheme="majorEastAsia"/>
                <w:noProof/>
              </w:rPr>
              <w:t>2.2.3.3 – Obligation d’information</w:t>
            </w:r>
            <w:r w:rsidR="00936371">
              <w:rPr>
                <w:noProof/>
                <w:webHidden/>
              </w:rPr>
              <w:tab/>
            </w:r>
            <w:r w:rsidR="00936371">
              <w:rPr>
                <w:noProof/>
                <w:webHidden/>
              </w:rPr>
              <w:fldChar w:fldCharType="begin"/>
            </w:r>
            <w:r w:rsidR="00936371">
              <w:rPr>
                <w:noProof/>
                <w:webHidden/>
              </w:rPr>
              <w:instrText xml:space="preserve"> PAGEREF _Toc64622173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74" w:history="1">
            <w:r w:rsidR="00936371" w:rsidRPr="0029693F">
              <w:rPr>
                <w:rStyle w:val="Lienhypertexte"/>
                <w:rFonts w:eastAsiaTheme="majorEastAsia"/>
                <w:noProof/>
              </w:rPr>
              <w:t>2.2.4 – Sous-traitance de second rang</w:t>
            </w:r>
            <w:r w:rsidR="00936371">
              <w:rPr>
                <w:noProof/>
                <w:webHidden/>
              </w:rPr>
              <w:tab/>
            </w:r>
            <w:r w:rsidR="00936371">
              <w:rPr>
                <w:noProof/>
                <w:webHidden/>
              </w:rPr>
              <w:fldChar w:fldCharType="begin"/>
            </w:r>
            <w:r w:rsidR="00936371">
              <w:rPr>
                <w:noProof/>
                <w:webHidden/>
              </w:rPr>
              <w:instrText xml:space="preserve"> PAGEREF _Toc64622174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5" w:history="1">
            <w:r w:rsidR="00936371" w:rsidRPr="0029693F">
              <w:rPr>
                <w:rStyle w:val="Lienhypertexte"/>
                <w:rFonts w:eastAsiaTheme="majorEastAsia"/>
                <w:noProof/>
              </w:rPr>
              <w:t>2.2.4.1 – Obligations préalables</w:t>
            </w:r>
            <w:r w:rsidR="00936371">
              <w:rPr>
                <w:noProof/>
                <w:webHidden/>
              </w:rPr>
              <w:tab/>
            </w:r>
            <w:r w:rsidR="00936371">
              <w:rPr>
                <w:noProof/>
                <w:webHidden/>
              </w:rPr>
              <w:fldChar w:fldCharType="begin"/>
            </w:r>
            <w:r w:rsidR="00936371">
              <w:rPr>
                <w:noProof/>
                <w:webHidden/>
              </w:rPr>
              <w:instrText xml:space="preserve"> PAGEREF _Toc64622175 \h </w:instrText>
            </w:r>
            <w:r w:rsidR="00936371">
              <w:rPr>
                <w:noProof/>
                <w:webHidden/>
              </w:rPr>
            </w:r>
            <w:r w:rsidR="00936371">
              <w:rPr>
                <w:noProof/>
                <w:webHidden/>
              </w:rPr>
              <w:fldChar w:fldCharType="separate"/>
            </w:r>
            <w:r w:rsidR="00936371">
              <w:rPr>
                <w:noProof/>
                <w:webHidden/>
              </w:rPr>
              <w:t>8</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6" w:history="1">
            <w:r w:rsidR="00936371" w:rsidRPr="0029693F">
              <w:rPr>
                <w:rStyle w:val="Lienhypertexte"/>
                <w:rFonts w:eastAsiaTheme="majorEastAsia"/>
                <w:noProof/>
              </w:rPr>
              <w:t>2.2.4.2 - Responsabilités</w:t>
            </w:r>
            <w:r w:rsidR="00936371">
              <w:rPr>
                <w:noProof/>
                <w:webHidden/>
              </w:rPr>
              <w:tab/>
            </w:r>
            <w:r w:rsidR="00936371">
              <w:rPr>
                <w:noProof/>
                <w:webHidden/>
              </w:rPr>
              <w:fldChar w:fldCharType="begin"/>
            </w:r>
            <w:r w:rsidR="00936371">
              <w:rPr>
                <w:noProof/>
                <w:webHidden/>
              </w:rPr>
              <w:instrText xml:space="preserve"> PAGEREF _Toc64622176 \h </w:instrText>
            </w:r>
            <w:r w:rsidR="00936371">
              <w:rPr>
                <w:noProof/>
                <w:webHidden/>
              </w:rPr>
            </w:r>
            <w:r w:rsidR="00936371">
              <w:rPr>
                <w:noProof/>
                <w:webHidden/>
              </w:rPr>
              <w:fldChar w:fldCharType="separate"/>
            </w:r>
            <w:r w:rsidR="00936371">
              <w:rPr>
                <w:noProof/>
                <w:webHidden/>
              </w:rPr>
              <w:t>9</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77" w:history="1">
            <w:r w:rsidR="00936371" w:rsidRPr="0029693F">
              <w:rPr>
                <w:rStyle w:val="Lienhypertexte"/>
                <w:rFonts w:eastAsiaTheme="majorEastAsia"/>
                <w:noProof/>
              </w:rPr>
              <w:t>2.2.4.3 – Obligation d’information</w:t>
            </w:r>
            <w:r w:rsidR="00936371">
              <w:rPr>
                <w:noProof/>
                <w:webHidden/>
              </w:rPr>
              <w:tab/>
            </w:r>
            <w:r w:rsidR="00936371">
              <w:rPr>
                <w:noProof/>
                <w:webHidden/>
              </w:rPr>
              <w:fldChar w:fldCharType="begin"/>
            </w:r>
            <w:r w:rsidR="00936371">
              <w:rPr>
                <w:noProof/>
                <w:webHidden/>
              </w:rPr>
              <w:instrText xml:space="preserve"> PAGEREF _Toc64622177 \h </w:instrText>
            </w:r>
            <w:r w:rsidR="00936371">
              <w:rPr>
                <w:noProof/>
                <w:webHidden/>
              </w:rPr>
            </w:r>
            <w:r w:rsidR="00936371">
              <w:rPr>
                <w:noProof/>
                <w:webHidden/>
              </w:rPr>
              <w:fldChar w:fldCharType="separate"/>
            </w:r>
            <w:r w:rsidR="00936371">
              <w:rPr>
                <w:noProof/>
                <w:webHidden/>
              </w:rPr>
              <w:t>9</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78" w:history="1">
            <w:r w:rsidR="00936371" w:rsidRPr="0029693F">
              <w:rPr>
                <w:rStyle w:val="Lienhypertexte"/>
                <w:rFonts w:eastAsiaTheme="majorEastAsia"/>
                <w:noProof/>
              </w:rPr>
              <w:t>2.3 - COMMUNICATION</w:t>
            </w:r>
            <w:r w:rsidR="00936371">
              <w:rPr>
                <w:noProof/>
                <w:webHidden/>
              </w:rPr>
              <w:tab/>
            </w:r>
            <w:r w:rsidR="00936371">
              <w:rPr>
                <w:noProof/>
                <w:webHidden/>
              </w:rPr>
              <w:fldChar w:fldCharType="begin"/>
            </w:r>
            <w:r w:rsidR="00936371">
              <w:rPr>
                <w:noProof/>
                <w:webHidden/>
              </w:rPr>
              <w:instrText xml:space="preserve"> PAGEREF _Toc64622178 \h </w:instrText>
            </w:r>
            <w:r w:rsidR="00936371">
              <w:rPr>
                <w:noProof/>
                <w:webHidden/>
              </w:rPr>
            </w:r>
            <w:r w:rsidR="00936371">
              <w:rPr>
                <w:noProof/>
                <w:webHidden/>
              </w:rPr>
              <w:fldChar w:fldCharType="separate"/>
            </w:r>
            <w:r w:rsidR="00936371">
              <w:rPr>
                <w:noProof/>
                <w:webHidden/>
              </w:rPr>
              <w:t>9</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79" w:history="1">
            <w:r w:rsidR="00936371" w:rsidRPr="0029693F">
              <w:rPr>
                <w:rStyle w:val="Lienhypertexte"/>
                <w:rFonts w:eastAsiaTheme="majorEastAsia"/>
                <w:noProof/>
              </w:rPr>
              <w:t>2.4 – AUTRES INTERVENANTS DANS L’EXECUTION DU MARCHÉ</w:t>
            </w:r>
            <w:r w:rsidR="00936371">
              <w:rPr>
                <w:noProof/>
                <w:webHidden/>
              </w:rPr>
              <w:tab/>
            </w:r>
            <w:r w:rsidR="00936371">
              <w:rPr>
                <w:noProof/>
                <w:webHidden/>
              </w:rPr>
              <w:fldChar w:fldCharType="begin"/>
            </w:r>
            <w:r w:rsidR="00936371">
              <w:rPr>
                <w:noProof/>
                <w:webHidden/>
              </w:rPr>
              <w:instrText xml:space="preserve"> PAGEREF _Toc64622179 \h </w:instrText>
            </w:r>
            <w:r w:rsidR="00936371">
              <w:rPr>
                <w:noProof/>
                <w:webHidden/>
              </w:rPr>
            </w:r>
            <w:r w:rsidR="00936371">
              <w:rPr>
                <w:noProof/>
                <w:webHidden/>
              </w:rPr>
              <w:fldChar w:fldCharType="separate"/>
            </w:r>
            <w:r w:rsidR="00936371">
              <w:rPr>
                <w:noProof/>
                <w:webHidden/>
              </w:rPr>
              <w:t>9</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0" w:history="1">
            <w:r w:rsidR="00936371" w:rsidRPr="0029693F">
              <w:rPr>
                <w:rStyle w:val="Lienhypertexte"/>
                <w:rFonts w:eastAsiaTheme="majorEastAsia"/>
                <w:noProof/>
              </w:rPr>
              <w:t>2.5 – AUTRES TITULAIRES</w:t>
            </w:r>
            <w:r w:rsidR="00936371">
              <w:rPr>
                <w:noProof/>
                <w:webHidden/>
              </w:rPr>
              <w:tab/>
            </w:r>
            <w:r w:rsidR="00936371">
              <w:rPr>
                <w:noProof/>
                <w:webHidden/>
              </w:rPr>
              <w:fldChar w:fldCharType="begin"/>
            </w:r>
            <w:r w:rsidR="00936371">
              <w:rPr>
                <w:noProof/>
                <w:webHidden/>
              </w:rPr>
              <w:instrText xml:space="preserve"> PAGEREF _Toc64622180 \h </w:instrText>
            </w:r>
            <w:r w:rsidR="00936371">
              <w:rPr>
                <w:noProof/>
                <w:webHidden/>
              </w:rPr>
            </w:r>
            <w:r w:rsidR="00936371">
              <w:rPr>
                <w:noProof/>
                <w:webHidden/>
              </w:rPr>
              <w:fldChar w:fldCharType="separate"/>
            </w:r>
            <w:r w:rsidR="00936371">
              <w:rPr>
                <w:noProof/>
                <w:webHidden/>
              </w:rPr>
              <w:t>9</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181" w:history="1">
            <w:r w:rsidR="00936371" w:rsidRPr="0029693F">
              <w:rPr>
                <w:rStyle w:val="Lienhypertexte"/>
                <w:rFonts w:eastAsiaTheme="majorEastAsia"/>
                <w:noProof/>
              </w:rPr>
              <w:t>ARTICLE 3 – PIECES CONSTITUTIVES DU MARCHÉ</w:t>
            </w:r>
            <w:r w:rsidR="00936371">
              <w:rPr>
                <w:noProof/>
                <w:webHidden/>
              </w:rPr>
              <w:tab/>
            </w:r>
            <w:r w:rsidR="00936371">
              <w:rPr>
                <w:noProof/>
                <w:webHidden/>
              </w:rPr>
              <w:fldChar w:fldCharType="begin"/>
            </w:r>
            <w:r w:rsidR="00936371">
              <w:rPr>
                <w:noProof/>
                <w:webHidden/>
              </w:rPr>
              <w:instrText xml:space="preserve"> PAGEREF _Toc64622181 \h </w:instrText>
            </w:r>
            <w:r w:rsidR="00936371">
              <w:rPr>
                <w:noProof/>
                <w:webHidden/>
              </w:rPr>
            </w:r>
            <w:r w:rsidR="00936371">
              <w:rPr>
                <w:noProof/>
                <w:webHidden/>
              </w:rPr>
              <w:fldChar w:fldCharType="separate"/>
            </w:r>
            <w:r w:rsidR="00936371">
              <w:rPr>
                <w:noProof/>
                <w:webHidden/>
              </w:rPr>
              <w:t>10</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2" w:history="1">
            <w:r w:rsidR="00936371" w:rsidRPr="0029693F">
              <w:rPr>
                <w:rStyle w:val="Lienhypertexte"/>
                <w:rFonts w:eastAsiaTheme="majorEastAsia"/>
                <w:noProof/>
              </w:rPr>
              <w:t>3.1 – PIECES PARTICULIERES</w:t>
            </w:r>
            <w:r w:rsidR="00936371">
              <w:rPr>
                <w:noProof/>
                <w:webHidden/>
              </w:rPr>
              <w:tab/>
            </w:r>
            <w:r w:rsidR="00936371">
              <w:rPr>
                <w:noProof/>
                <w:webHidden/>
              </w:rPr>
              <w:fldChar w:fldCharType="begin"/>
            </w:r>
            <w:r w:rsidR="00936371">
              <w:rPr>
                <w:noProof/>
                <w:webHidden/>
              </w:rPr>
              <w:instrText xml:space="preserve"> PAGEREF _Toc64622182 \h </w:instrText>
            </w:r>
            <w:r w:rsidR="00936371">
              <w:rPr>
                <w:noProof/>
                <w:webHidden/>
              </w:rPr>
            </w:r>
            <w:r w:rsidR="00936371">
              <w:rPr>
                <w:noProof/>
                <w:webHidden/>
              </w:rPr>
              <w:fldChar w:fldCharType="separate"/>
            </w:r>
            <w:r w:rsidR="00936371">
              <w:rPr>
                <w:noProof/>
                <w:webHidden/>
              </w:rPr>
              <w:t>10</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3" w:history="1">
            <w:r w:rsidR="00936371" w:rsidRPr="0029693F">
              <w:rPr>
                <w:rStyle w:val="Lienhypertexte"/>
                <w:rFonts w:eastAsiaTheme="majorEastAsia"/>
                <w:noProof/>
              </w:rPr>
              <w:t>3.2 – PIECES GENERALES</w:t>
            </w:r>
            <w:r w:rsidR="00936371">
              <w:rPr>
                <w:noProof/>
                <w:webHidden/>
              </w:rPr>
              <w:tab/>
            </w:r>
            <w:r w:rsidR="00936371">
              <w:rPr>
                <w:noProof/>
                <w:webHidden/>
              </w:rPr>
              <w:fldChar w:fldCharType="begin"/>
            </w:r>
            <w:r w:rsidR="00936371">
              <w:rPr>
                <w:noProof/>
                <w:webHidden/>
              </w:rPr>
              <w:instrText xml:space="preserve"> PAGEREF _Toc64622183 \h </w:instrText>
            </w:r>
            <w:r w:rsidR="00936371">
              <w:rPr>
                <w:noProof/>
                <w:webHidden/>
              </w:rPr>
            </w:r>
            <w:r w:rsidR="00936371">
              <w:rPr>
                <w:noProof/>
                <w:webHidden/>
              </w:rPr>
              <w:fldChar w:fldCharType="separate"/>
            </w:r>
            <w:r w:rsidR="00936371">
              <w:rPr>
                <w:noProof/>
                <w:webHidden/>
              </w:rPr>
              <w:t>10</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4" w:history="1">
            <w:r w:rsidR="00936371" w:rsidRPr="0029693F">
              <w:rPr>
                <w:rStyle w:val="Lienhypertexte"/>
                <w:rFonts w:eastAsiaTheme="majorEastAsia"/>
                <w:noProof/>
              </w:rPr>
              <w:t>3.3 – PLAFONNEMENT DES PRIX UNITAIRES</w:t>
            </w:r>
            <w:r w:rsidR="00936371">
              <w:rPr>
                <w:noProof/>
                <w:webHidden/>
              </w:rPr>
              <w:tab/>
            </w:r>
            <w:r w:rsidR="00936371">
              <w:rPr>
                <w:noProof/>
                <w:webHidden/>
              </w:rPr>
              <w:fldChar w:fldCharType="begin"/>
            </w:r>
            <w:r w:rsidR="00936371">
              <w:rPr>
                <w:noProof/>
                <w:webHidden/>
              </w:rPr>
              <w:instrText xml:space="preserve"> PAGEREF _Toc64622184 \h </w:instrText>
            </w:r>
            <w:r w:rsidR="00936371">
              <w:rPr>
                <w:noProof/>
                <w:webHidden/>
              </w:rPr>
            </w:r>
            <w:r w:rsidR="00936371">
              <w:rPr>
                <w:noProof/>
                <w:webHidden/>
              </w:rPr>
              <w:fldChar w:fldCharType="separate"/>
            </w:r>
            <w:r w:rsidR="00936371">
              <w:rPr>
                <w:noProof/>
                <w:webHidden/>
              </w:rPr>
              <w:t>10</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185" w:history="1">
            <w:r w:rsidR="00936371" w:rsidRPr="0029693F">
              <w:rPr>
                <w:rStyle w:val="Lienhypertexte"/>
                <w:rFonts w:eastAsiaTheme="majorEastAsia"/>
                <w:noProof/>
              </w:rPr>
              <w:t>ARTICLE 4  - MISE EN OEUVRE DES MARCHES SUBSEQUENTS</w:t>
            </w:r>
            <w:r w:rsidR="00936371">
              <w:rPr>
                <w:noProof/>
                <w:webHidden/>
              </w:rPr>
              <w:tab/>
            </w:r>
            <w:r w:rsidR="00936371">
              <w:rPr>
                <w:noProof/>
                <w:webHidden/>
              </w:rPr>
              <w:fldChar w:fldCharType="begin"/>
            </w:r>
            <w:r w:rsidR="00936371">
              <w:rPr>
                <w:noProof/>
                <w:webHidden/>
              </w:rPr>
              <w:instrText xml:space="preserve"> PAGEREF _Toc64622185 \h </w:instrText>
            </w:r>
            <w:r w:rsidR="00936371">
              <w:rPr>
                <w:noProof/>
                <w:webHidden/>
              </w:rPr>
            </w:r>
            <w:r w:rsidR="00936371">
              <w:rPr>
                <w:noProof/>
                <w:webHidden/>
              </w:rPr>
              <w:fldChar w:fldCharType="separate"/>
            </w:r>
            <w:r w:rsidR="00936371">
              <w:rPr>
                <w:noProof/>
                <w:webHidden/>
              </w:rPr>
              <w:t>12</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6" w:history="1">
            <w:r w:rsidR="00936371" w:rsidRPr="0029693F">
              <w:rPr>
                <w:rStyle w:val="Lienhypertexte"/>
                <w:rFonts w:eastAsiaTheme="majorEastAsia"/>
                <w:noProof/>
              </w:rPr>
              <w:t>4.1 – PROCEDURE DE CONSULTATION EN CAS DE MARCHE CADRE MONO-TITULAIRE</w:t>
            </w:r>
            <w:r w:rsidR="00936371">
              <w:rPr>
                <w:noProof/>
                <w:webHidden/>
              </w:rPr>
              <w:tab/>
            </w:r>
            <w:r w:rsidR="00936371">
              <w:rPr>
                <w:noProof/>
                <w:webHidden/>
              </w:rPr>
              <w:fldChar w:fldCharType="begin"/>
            </w:r>
            <w:r w:rsidR="00936371">
              <w:rPr>
                <w:noProof/>
                <w:webHidden/>
              </w:rPr>
              <w:instrText xml:space="preserve"> PAGEREF _Toc64622186 \h </w:instrText>
            </w:r>
            <w:r w:rsidR="00936371">
              <w:rPr>
                <w:noProof/>
                <w:webHidden/>
              </w:rPr>
            </w:r>
            <w:r w:rsidR="00936371">
              <w:rPr>
                <w:noProof/>
                <w:webHidden/>
              </w:rPr>
              <w:fldChar w:fldCharType="separate"/>
            </w:r>
            <w:r w:rsidR="00936371">
              <w:rPr>
                <w:noProof/>
                <w:webHidden/>
              </w:rPr>
              <w:t>12</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7" w:history="1">
            <w:r w:rsidR="00936371" w:rsidRPr="0029693F">
              <w:rPr>
                <w:rStyle w:val="Lienhypertexte"/>
                <w:rFonts w:eastAsiaTheme="majorEastAsia"/>
                <w:noProof/>
              </w:rPr>
              <w:t>4.2 – PROCEDURE DE CONSULTATION EN CAS DE MARCHE CADRE MULTI-TITULAIRE</w:t>
            </w:r>
            <w:r w:rsidR="00936371">
              <w:rPr>
                <w:noProof/>
                <w:webHidden/>
              </w:rPr>
              <w:tab/>
            </w:r>
            <w:r w:rsidR="00936371">
              <w:rPr>
                <w:noProof/>
                <w:webHidden/>
              </w:rPr>
              <w:fldChar w:fldCharType="begin"/>
            </w:r>
            <w:r w:rsidR="00936371">
              <w:rPr>
                <w:noProof/>
                <w:webHidden/>
              </w:rPr>
              <w:instrText xml:space="preserve"> PAGEREF _Toc64622187 \h </w:instrText>
            </w:r>
            <w:r w:rsidR="00936371">
              <w:rPr>
                <w:noProof/>
                <w:webHidden/>
              </w:rPr>
            </w:r>
            <w:r w:rsidR="00936371">
              <w:rPr>
                <w:noProof/>
                <w:webHidden/>
              </w:rPr>
              <w:fldChar w:fldCharType="separate"/>
            </w:r>
            <w:r w:rsidR="00936371">
              <w:rPr>
                <w:noProof/>
                <w:webHidden/>
              </w:rPr>
              <w:t>12</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8" w:history="1">
            <w:r w:rsidR="00936371" w:rsidRPr="0029693F">
              <w:rPr>
                <w:rStyle w:val="Lienhypertexte"/>
                <w:rFonts w:eastAsiaTheme="majorEastAsia"/>
                <w:noProof/>
              </w:rPr>
              <w:t>4.3 – JUGEMENT DES OFFRES</w:t>
            </w:r>
            <w:r w:rsidR="00936371">
              <w:rPr>
                <w:noProof/>
                <w:webHidden/>
              </w:rPr>
              <w:tab/>
            </w:r>
            <w:r w:rsidR="00936371">
              <w:rPr>
                <w:noProof/>
                <w:webHidden/>
              </w:rPr>
              <w:fldChar w:fldCharType="begin"/>
            </w:r>
            <w:r w:rsidR="00936371">
              <w:rPr>
                <w:noProof/>
                <w:webHidden/>
              </w:rPr>
              <w:instrText xml:space="preserve"> PAGEREF _Toc64622188 \h </w:instrText>
            </w:r>
            <w:r w:rsidR="00936371">
              <w:rPr>
                <w:noProof/>
                <w:webHidden/>
              </w:rPr>
            </w:r>
            <w:r w:rsidR="00936371">
              <w:rPr>
                <w:noProof/>
                <w:webHidden/>
              </w:rPr>
              <w:fldChar w:fldCharType="separate"/>
            </w:r>
            <w:r w:rsidR="00936371">
              <w:rPr>
                <w:noProof/>
                <w:webHidden/>
              </w:rPr>
              <w:t>13</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89" w:history="1">
            <w:r w:rsidR="00936371" w:rsidRPr="0029693F">
              <w:rPr>
                <w:rStyle w:val="Lienhypertexte"/>
                <w:rFonts w:eastAsiaTheme="majorEastAsia"/>
                <w:noProof/>
              </w:rPr>
              <w:t>4.4 – ATTRIBUTION DU MARCHÉ SUBSÉQUENT</w:t>
            </w:r>
            <w:r w:rsidR="00936371">
              <w:rPr>
                <w:noProof/>
                <w:webHidden/>
              </w:rPr>
              <w:tab/>
            </w:r>
            <w:r w:rsidR="00936371">
              <w:rPr>
                <w:noProof/>
                <w:webHidden/>
              </w:rPr>
              <w:fldChar w:fldCharType="begin"/>
            </w:r>
            <w:r w:rsidR="00936371">
              <w:rPr>
                <w:noProof/>
                <w:webHidden/>
              </w:rPr>
              <w:instrText xml:space="preserve"> PAGEREF _Toc64622189 \h </w:instrText>
            </w:r>
            <w:r w:rsidR="00936371">
              <w:rPr>
                <w:noProof/>
                <w:webHidden/>
              </w:rPr>
            </w:r>
            <w:r w:rsidR="00936371">
              <w:rPr>
                <w:noProof/>
                <w:webHidden/>
              </w:rPr>
              <w:fldChar w:fldCharType="separate"/>
            </w:r>
            <w:r w:rsidR="00936371">
              <w:rPr>
                <w:noProof/>
                <w:webHidden/>
              </w:rPr>
              <w:t>13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90" w:history="1">
            <w:r w:rsidR="00936371" w:rsidRPr="0029693F">
              <w:rPr>
                <w:rStyle w:val="Lienhypertexte"/>
                <w:rFonts w:eastAsiaTheme="majorEastAsia"/>
                <w:noProof/>
              </w:rPr>
              <w:t xml:space="preserve">4.4.1 – Marché subséquent à </w:t>
            </w:r>
            <w:r w:rsidR="00422C2B">
              <w:rPr>
                <w:rStyle w:val="Lienhypertexte"/>
                <w:rFonts w:eastAsiaTheme="majorEastAsia"/>
                <w:noProof/>
              </w:rPr>
              <w:t>bons de commande</w:t>
            </w:r>
            <w:r w:rsidR="00936371">
              <w:rPr>
                <w:noProof/>
                <w:webHidden/>
              </w:rPr>
              <w:tab/>
            </w:r>
            <w:r w:rsidR="00936371">
              <w:rPr>
                <w:noProof/>
                <w:webHidden/>
              </w:rPr>
              <w:fldChar w:fldCharType="begin"/>
            </w:r>
            <w:r w:rsidR="00936371">
              <w:rPr>
                <w:noProof/>
                <w:webHidden/>
              </w:rPr>
              <w:instrText xml:space="preserve"> PAGEREF _Toc64622190 \h </w:instrText>
            </w:r>
            <w:r w:rsidR="00936371">
              <w:rPr>
                <w:noProof/>
                <w:webHidden/>
              </w:rPr>
            </w:r>
            <w:r w:rsidR="00936371">
              <w:rPr>
                <w:noProof/>
                <w:webHidden/>
              </w:rPr>
              <w:fldChar w:fldCharType="separate"/>
            </w:r>
            <w:r w:rsidR="00936371">
              <w:rPr>
                <w:noProof/>
                <w:webHidden/>
              </w:rPr>
              <w:t>13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91" w:history="1">
            <w:r w:rsidR="00936371" w:rsidRPr="0029693F">
              <w:rPr>
                <w:rStyle w:val="Lienhypertexte"/>
                <w:rFonts w:eastAsiaTheme="majorEastAsia"/>
                <w:noProof/>
              </w:rPr>
              <w:t>4.4.2 – Marché subséquent à quantités prédéfinies</w:t>
            </w:r>
            <w:r w:rsidR="00936371">
              <w:rPr>
                <w:noProof/>
                <w:webHidden/>
              </w:rPr>
              <w:tab/>
            </w:r>
            <w:r w:rsidR="00936371">
              <w:rPr>
                <w:noProof/>
                <w:webHidden/>
              </w:rPr>
              <w:fldChar w:fldCharType="begin"/>
            </w:r>
            <w:r w:rsidR="00936371">
              <w:rPr>
                <w:noProof/>
                <w:webHidden/>
              </w:rPr>
              <w:instrText xml:space="preserve"> PAGEREF _Toc64622191 \h </w:instrText>
            </w:r>
            <w:r w:rsidR="00936371">
              <w:rPr>
                <w:noProof/>
                <w:webHidden/>
              </w:rPr>
            </w:r>
            <w:r w:rsidR="00936371">
              <w:rPr>
                <w:noProof/>
                <w:webHidden/>
              </w:rPr>
              <w:fldChar w:fldCharType="separate"/>
            </w:r>
            <w:r w:rsidR="00936371">
              <w:rPr>
                <w:noProof/>
                <w:webHidden/>
              </w:rPr>
              <w:t>13</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92" w:history="1">
            <w:r w:rsidR="00936371" w:rsidRPr="0029693F">
              <w:rPr>
                <w:rStyle w:val="Lienhypertexte"/>
                <w:rFonts w:eastAsiaTheme="majorEastAsia"/>
                <w:noProof/>
              </w:rPr>
              <w:t>4.5  - MODALITES DE COMMANDE DES PRESTATIONS DU MARCHE SUBSEQUENT</w:t>
            </w:r>
            <w:r w:rsidR="00936371">
              <w:rPr>
                <w:noProof/>
                <w:webHidden/>
              </w:rPr>
              <w:tab/>
            </w:r>
            <w:r w:rsidR="00936371">
              <w:rPr>
                <w:noProof/>
                <w:webHidden/>
              </w:rPr>
              <w:fldChar w:fldCharType="begin"/>
            </w:r>
            <w:r w:rsidR="00936371">
              <w:rPr>
                <w:noProof/>
                <w:webHidden/>
              </w:rPr>
              <w:instrText xml:space="preserve"> PAGEREF _Toc64622192 \h </w:instrText>
            </w:r>
            <w:r w:rsidR="00936371">
              <w:rPr>
                <w:noProof/>
                <w:webHidden/>
              </w:rPr>
            </w:r>
            <w:r w:rsidR="00936371">
              <w:rPr>
                <w:noProof/>
                <w:webHidden/>
              </w:rPr>
              <w:fldChar w:fldCharType="separate"/>
            </w:r>
            <w:r w:rsidR="00936371">
              <w:rPr>
                <w:noProof/>
                <w:webHidden/>
              </w:rPr>
              <w:t>14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93" w:history="1">
            <w:r w:rsidR="00936371" w:rsidRPr="0029693F">
              <w:rPr>
                <w:rStyle w:val="Lienhypertexte"/>
                <w:rFonts w:eastAsiaTheme="majorEastAsia"/>
                <w:noProof/>
              </w:rPr>
              <w:t>4.5.1 – En cas de marché subséquent à bons de commande</w:t>
            </w:r>
            <w:r w:rsidR="00936371">
              <w:rPr>
                <w:noProof/>
                <w:webHidden/>
              </w:rPr>
              <w:tab/>
            </w:r>
            <w:r w:rsidR="00936371">
              <w:rPr>
                <w:noProof/>
                <w:webHidden/>
              </w:rPr>
              <w:fldChar w:fldCharType="begin"/>
            </w:r>
            <w:r w:rsidR="00936371">
              <w:rPr>
                <w:noProof/>
                <w:webHidden/>
              </w:rPr>
              <w:instrText xml:space="preserve"> PAGEREF _Toc64622193 \h </w:instrText>
            </w:r>
            <w:r w:rsidR="00936371">
              <w:rPr>
                <w:noProof/>
                <w:webHidden/>
              </w:rPr>
            </w:r>
            <w:r w:rsidR="00936371">
              <w:rPr>
                <w:noProof/>
                <w:webHidden/>
              </w:rPr>
              <w:fldChar w:fldCharType="separate"/>
            </w:r>
            <w:r w:rsidR="00936371">
              <w:rPr>
                <w:noProof/>
                <w:webHidden/>
              </w:rPr>
              <w:t>14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94" w:history="1">
            <w:r w:rsidR="00936371" w:rsidRPr="0029693F">
              <w:rPr>
                <w:rStyle w:val="Lienhypertexte"/>
                <w:rFonts w:eastAsiaTheme="majorEastAsia"/>
                <w:noProof/>
              </w:rPr>
              <w:t>4.5.2 – En cas de marché subséquent à quantités prédéfinies</w:t>
            </w:r>
            <w:r w:rsidR="00936371">
              <w:rPr>
                <w:noProof/>
                <w:webHidden/>
              </w:rPr>
              <w:tab/>
            </w:r>
            <w:r w:rsidR="00936371">
              <w:rPr>
                <w:noProof/>
                <w:webHidden/>
              </w:rPr>
              <w:fldChar w:fldCharType="begin"/>
            </w:r>
            <w:r w:rsidR="00936371">
              <w:rPr>
                <w:noProof/>
                <w:webHidden/>
              </w:rPr>
              <w:instrText xml:space="preserve"> PAGEREF _Toc64622194 \h </w:instrText>
            </w:r>
            <w:r w:rsidR="00936371">
              <w:rPr>
                <w:noProof/>
                <w:webHidden/>
              </w:rPr>
            </w:r>
            <w:r w:rsidR="00936371">
              <w:rPr>
                <w:noProof/>
                <w:webHidden/>
              </w:rPr>
              <w:fldChar w:fldCharType="separate"/>
            </w:r>
            <w:r w:rsidR="00936371">
              <w:rPr>
                <w:noProof/>
                <w:webHidden/>
              </w:rPr>
              <w:t>14</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95" w:history="1">
            <w:r w:rsidR="00936371" w:rsidRPr="0029693F">
              <w:rPr>
                <w:rStyle w:val="Lienhypertexte"/>
                <w:rFonts w:eastAsiaTheme="majorEastAsia"/>
                <w:noProof/>
              </w:rPr>
              <w:t>4.5.2.1 – Démarrage de l’exécution des prestations</w:t>
            </w:r>
            <w:r w:rsidR="00936371">
              <w:rPr>
                <w:noProof/>
                <w:webHidden/>
              </w:rPr>
              <w:tab/>
            </w:r>
            <w:r w:rsidR="00936371">
              <w:rPr>
                <w:noProof/>
                <w:webHidden/>
              </w:rPr>
              <w:fldChar w:fldCharType="begin"/>
            </w:r>
            <w:r w:rsidR="00936371">
              <w:rPr>
                <w:noProof/>
                <w:webHidden/>
              </w:rPr>
              <w:instrText xml:space="preserve"> PAGEREF _Toc64622195 \h </w:instrText>
            </w:r>
            <w:r w:rsidR="00936371">
              <w:rPr>
                <w:noProof/>
                <w:webHidden/>
              </w:rPr>
            </w:r>
            <w:r w:rsidR="00936371">
              <w:rPr>
                <w:noProof/>
                <w:webHidden/>
              </w:rPr>
              <w:fldChar w:fldCharType="separate"/>
            </w:r>
            <w:r w:rsidR="00936371">
              <w:rPr>
                <w:noProof/>
                <w:webHidden/>
              </w:rPr>
              <w:t>14</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96" w:history="1">
            <w:r w:rsidR="00936371" w:rsidRPr="0029693F">
              <w:rPr>
                <w:rStyle w:val="Lienhypertexte"/>
                <w:rFonts w:eastAsiaTheme="majorEastAsia"/>
                <w:noProof/>
              </w:rPr>
              <w:t>4.5.2.2 – Demande de prestations supplémentaires</w:t>
            </w:r>
            <w:r w:rsidR="00936371">
              <w:rPr>
                <w:noProof/>
                <w:webHidden/>
              </w:rPr>
              <w:tab/>
            </w:r>
            <w:r w:rsidR="00936371">
              <w:rPr>
                <w:noProof/>
                <w:webHidden/>
              </w:rPr>
              <w:fldChar w:fldCharType="begin"/>
            </w:r>
            <w:r w:rsidR="00936371">
              <w:rPr>
                <w:noProof/>
                <w:webHidden/>
              </w:rPr>
              <w:instrText xml:space="preserve"> PAGEREF _Toc64622196 \h </w:instrText>
            </w:r>
            <w:r w:rsidR="00936371">
              <w:rPr>
                <w:noProof/>
                <w:webHidden/>
              </w:rPr>
            </w:r>
            <w:r w:rsidR="00936371">
              <w:rPr>
                <w:noProof/>
                <w:webHidden/>
              </w:rPr>
              <w:fldChar w:fldCharType="separate"/>
            </w:r>
            <w:r w:rsidR="00936371">
              <w:rPr>
                <w:noProof/>
                <w:webHidden/>
              </w:rPr>
              <w:t>14</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197" w:history="1">
            <w:r w:rsidR="00936371" w:rsidRPr="0029693F">
              <w:rPr>
                <w:rStyle w:val="Lienhypertexte"/>
                <w:rFonts w:eastAsiaTheme="majorEastAsia"/>
                <w:noProof/>
              </w:rPr>
              <w:t>4.5.2.3 – Décision de poursuivre</w:t>
            </w:r>
            <w:r w:rsidR="00936371">
              <w:rPr>
                <w:noProof/>
                <w:webHidden/>
              </w:rPr>
              <w:tab/>
            </w:r>
            <w:r w:rsidR="00936371">
              <w:rPr>
                <w:noProof/>
                <w:webHidden/>
              </w:rPr>
              <w:fldChar w:fldCharType="begin"/>
            </w:r>
            <w:r w:rsidR="00936371">
              <w:rPr>
                <w:noProof/>
                <w:webHidden/>
              </w:rPr>
              <w:instrText xml:space="preserve"> PAGEREF _Toc64622197 \h </w:instrText>
            </w:r>
            <w:r w:rsidR="00936371">
              <w:rPr>
                <w:noProof/>
                <w:webHidden/>
              </w:rPr>
            </w:r>
            <w:r w:rsidR="00936371">
              <w:rPr>
                <w:noProof/>
                <w:webHidden/>
              </w:rPr>
              <w:fldChar w:fldCharType="separate"/>
            </w:r>
            <w:r w:rsidR="00936371">
              <w:rPr>
                <w:noProof/>
                <w:webHidden/>
              </w:rPr>
              <w:t>15</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198" w:history="1">
            <w:r w:rsidR="00936371" w:rsidRPr="0029693F">
              <w:rPr>
                <w:rStyle w:val="Lienhypertexte"/>
                <w:rFonts w:eastAsiaTheme="majorEastAsia"/>
                <w:noProof/>
              </w:rPr>
              <w:t>4.6  - MONTANTS MINIMAL ET MAXIMAL COMMANDES AU TITRE DU MARCHE CADRE</w:t>
            </w:r>
            <w:r w:rsidR="00936371">
              <w:rPr>
                <w:noProof/>
                <w:webHidden/>
              </w:rPr>
              <w:tab/>
            </w:r>
            <w:r w:rsidR="00936371">
              <w:rPr>
                <w:noProof/>
                <w:webHidden/>
              </w:rPr>
              <w:fldChar w:fldCharType="begin"/>
            </w:r>
            <w:r w:rsidR="00936371">
              <w:rPr>
                <w:noProof/>
                <w:webHidden/>
              </w:rPr>
              <w:instrText xml:space="preserve"> PAGEREF _Toc64622198 \h </w:instrText>
            </w:r>
            <w:r w:rsidR="00936371">
              <w:rPr>
                <w:noProof/>
                <w:webHidden/>
              </w:rPr>
            </w:r>
            <w:r w:rsidR="00936371">
              <w:rPr>
                <w:noProof/>
                <w:webHidden/>
              </w:rPr>
              <w:fldChar w:fldCharType="separate"/>
            </w:r>
            <w:r w:rsidR="00936371">
              <w:rPr>
                <w:noProof/>
                <w:webHidden/>
              </w:rPr>
              <w:t>15</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199" w:history="1">
            <w:r w:rsidR="00936371" w:rsidRPr="0029693F">
              <w:rPr>
                <w:rStyle w:val="Lienhypertexte"/>
                <w:rFonts w:eastAsiaTheme="majorEastAsia"/>
                <w:noProof/>
              </w:rPr>
              <w:t>4.6.1 - Application d’un minimum et / ou d’un maximum</w:t>
            </w:r>
            <w:r w:rsidR="00936371">
              <w:rPr>
                <w:noProof/>
                <w:webHidden/>
              </w:rPr>
              <w:tab/>
            </w:r>
            <w:r w:rsidR="00936371">
              <w:rPr>
                <w:noProof/>
                <w:webHidden/>
              </w:rPr>
              <w:fldChar w:fldCharType="begin"/>
            </w:r>
            <w:r w:rsidR="00936371">
              <w:rPr>
                <w:noProof/>
                <w:webHidden/>
              </w:rPr>
              <w:instrText xml:space="preserve"> PAGEREF _Toc64622199 \h </w:instrText>
            </w:r>
            <w:r w:rsidR="00936371">
              <w:rPr>
                <w:noProof/>
                <w:webHidden/>
              </w:rPr>
            </w:r>
            <w:r w:rsidR="00936371">
              <w:rPr>
                <w:noProof/>
                <w:webHidden/>
              </w:rPr>
              <w:fldChar w:fldCharType="separate"/>
            </w:r>
            <w:r w:rsidR="00936371">
              <w:rPr>
                <w:noProof/>
                <w:webHidden/>
              </w:rPr>
              <w:t>15</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0" w:history="1">
            <w:r w:rsidR="00936371" w:rsidRPr="0029693F">
              <w:rPr>
                <w:rStyle w:val="Lienhypertexte"/>
                <w:rFonts w:eastAsiaTheme="majorEastAsia"/>
                <w:noProof/>
              </w:rPr>
              <w:t>4.6.2 - Période de référence</w:t>
            </w:r>
            <w:r w:rsidR="00936371">
              <w:rPr>
                <w:noProof/>
                <w:webHidden/>
              </w:rPr>
              <w:tab/>
            </w:r>
            <w:r w:rsidR="00936371">
              <w:rPr>
                <w:noProof/>
                <w:webHidden/>
              </w:rPr>
              <w:fldChar w:fldCharType="begin"/>
            </w:r>
            <w:r w:rsidR="00936371">
              <w:rPr>
                <w:noProof/>
                <w:webHidden/>
              </w:rPr>
              <w:instrText xml:space="preserve"> PAGEREF _Toc64622200 \h </w:instrText>
            </w:r>
            <w:r w:rsidR="00936371">
              <w:rPr>
                <w:noProof/>
                <w:webHidden/>
              </w:rPr>
            </w:r>
            <w:r w:rsidR="00936371">
              <w:rPr>
                <w:noProof/>
                <w:webHidden/>
              </w:rPr>
              <w:fldChar w:fldCharType="separate"/>
            </w:r>
            <w:r w:rsidR="00936371">
              <w:rPr>
                <w:noProof/>
                <w:webHidden/>
              </w:rPr>
              <w:t>15</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01" w:history="1">
            <w:r w:rsidR="00936371" w:rsidRPr="0029693F">
              <w:rPr>
                <w:rStyle w:val="Lienhypertexte"/>
                <w:rFonts w:eastAsiaTheme="majorEastAsia"/>
                <w:noProof/>
              </w:rPr>
              <w:t>ARTICLE 5  - DUREE, RECONDUCTION, DELAIS, PENALITES</w:t>
            </w:r>
            <w:r w:rsidR="00936371">
              <w:rPr>
                <w:noProof/>
                <w:webHidden/>
              </w:rPr>
              <w:tab/>
            </w:r>
            <w:r w:rsidR="00936371">
              <w:rPr>
                <w:noProof/>
                <w:webHidden/>
              </w:rPr>
              <w:fldChar w:fldCharType="begin"/>
            </w:r>
            <w:r w:rsidR="00936371">
              <w:rPr>
                <w:noProof/>
                <w:webHidden/>
              </w:rPr>
              <w:instrText xml:space="preserve"> PAGEREF _Toc64622201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02" w:history="1">
            <w:r w:rsidR="00936371" w:rsidRPr="0029693F">
              <w:rPr>
                <w:rStyle w:val="Lienhypertexte"/>
                <w:rFonts w:eastAsiaTheme="majorEastAsia"/>
                <w:noProof/>
              </w:rPr>
              <w:t>5.1 – DUREE DE VALIDITE DU MARCHE, RECONDUCTION, DELAIS D’EXECUTION</w:t>
            </w:r>
            <w:r w:rsidR="00936371">
              <w:rPr>
                <w:noProof/>
                <w:webHidden/>
              </w:rPr>
              <w:tab/>
            </w:r>
            <w:r w:rsidR="00936371">
              <w:rPr>
                <w:noProof/>
                <w:webHidden/>
              </w:rPr>
              <w:fldChar w:fldCharType="begin"/>
            </w:r>
            <w:r w:rsidR="00936371">
              <w:rPr>
                <w:noProof/>
                <w:webHidden/>
              </w:rPr>
              <w:instrText xml:space="preserve"> PAGEREF _Toc64622202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03" w:history="1">
            <w:r w:rsidR="00936371" w:rsidRPr="0029693F">
              <w:rPr>
                <w:rStyle w:val="Lienhypertexte"/>
                <w:rFonts w:eastAsiaTheme="majorEastAsia"/>
                <w:noProof/>
              </w:rPr>
              <w:t>5.2 – PROLONGATION DES DELAIS D’EXECUTION DES PRESTATIONS</w:t>
            </w:r>
            <w:r w:rsidR="00936371">
              <w:rPr>
                <w:noProof/>
                <w:webHidden/>
              </w:rPr>
              <w:tab/>
            </w:r>
            <w:r w:rsidR="00936371">
              <w:rPr>
                <w:noProof/>
                <w:webHidden/>
              </w:rPr>
              <w:fldChar w:fldCharType="begin"/>
            </w:r>
            <w:r w:rsidR="00936371">
              <w:rPr>
                <w:noProof/>
                <w:webHidden/>
              </w:rPr>
              <w:instrText xml:space="preserve"> PAGEREF _Toc64622203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04" w:history="1">
            <w:r w:rsidR="00936371" w:rsidRPr="0029693F">
              <w:rPr>
                <w:rStyle w:val="Lienhypertexte"/>
                <w:rFonts w:eastAsiaTheme="majorEastAsia"/>
                <w:noProof/>
              </w:rPr>
              <w:t>5.3 – PENALITES</w:t>
            </w:r>
            <w:r w:rsidR="00936371">
              <w:rPr>
                <w:noProof/>
                <w:webHidden/>
              </w:rPr>
              <w:tab/>
            </w:r>
            <w:r w:rsidR="00936371">
              <w:rPr>
                <w:noProof/>
                <w:webHidden/>
              </w:rPr>
              <w:fldChar w:fldCharType="begin"/>
            </w:r>
            <w:r w:rsidR="00936371">
              <w:rPr>
                <w:noProof/>
                <w:webHidden/>
              </w:rPr>
              <w:instrText xml:space="preserve"> PAGEREF _Toc64622204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5" w:history="1">
            <w:r w:rsidR="00936371" w:rsidRPr="0029693F">
              <w:rPr>
                <w:rStyle w:val="Lienhypertexte"/>
                <w:rFonts w:eastAsiaTheme="majorEastAsia"/>
                <w:noProof/>
              </w:rPr>
              <w:t>5.3.1 – Non réponse à une consultation dans les délais</w:t>
            </w:r>
            <w:r w:rsidR="00936371">
              <w:rPr>
                <w:noProof/>
                <w:webHidden/>
              </w:rPr>
              <w:tab/>
            </w:r>
            <w:r w:rsidR="00936371">
              <w:rPr>
                <w:noProof/>
                <w:webHidden/>
              </w:rPr>
              <w:fldChar w:fldCharType="begin"/>
            </w:r>
            <w:r w:rsidR="00936371">
              <w:rPr>
                <w:noProof/>
                <w:webHidden/>
              </w:rPr>
              <w:instrText xml:space="preserve"> PAGEREF _Toc64622205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6" w:history="1">
            <w:r w:rsidR="00936371" w:rsidRPr="0029693F">
              <w:rPr>
                <w:rStyle w:val="Lienhypertexte"/>
                <w:rFonts w:eastAsiaTheme="majorEastAsia"/>
                <w:noProof/>
              </w:rPr>
              <w:t>5.3.2 – Confirmation tardive</w:t>
            </w:r>
            <w:r w:rsidR="00936371">
              <w:rPr>
                <w:noProof/>
                <w:webHidden/>
              </w:rPr>
              <w:tab/>
            </w:r>
            <w:r w:rsidR="00936371">
              <w:rPr>
                <w:noProof/>
                <w:webHidden/>
              </w:rPr>
              <w:fldChar w:fldCharType="begin"/>
            </w:r>
            <w:r w:rsidR="00936371">
              <w:rPr>
                <w:noProof/>
                <w:webHidden/>
              </w:rPr>
              <w:instrText xml:space="preserve"> PAGEREF _Toc64622206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7" w:history="1">
            <w:r w:rsidR="00936371" w:rsidRPr="0029693F">
              <w:rPr>
                <w:rStyle w:val="Lienhypertexte"/>
                <w:rFonts w:eastAsiaTheme="majorEastAsia"/>
                <w:noProof/>
              </w:rPr>
              <w:t>5.3.3 – Retard d’exécution des prestations</w:t>
            </w:r>
            <w:r w:rsidR="00936371">
              <w:rPr>
                <w:noProof/>
                <w:webHidden/>
              </w:rPr>
              <w:tab/>
            </w:r>
            <w:r w:rsidR="00936371">
              <w:rPr>
                <w:noProof/>
                <w:webHidden/>
              </w:rPr>
              <w:fldChar w:fldCharType="begin"/>
            </w:r>
            <w:r w:rsidR="00936371">
              <w:rPr>
                <w:noProof/>
                <w:webHidden/>
              </w:rPr>
              <w:instrText xml:space="preserve"> PAGEREF _Toc64622207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8" w:history="1">
            <w:r w:rsidR="00936371" w:rsidRPr="0029693F">
              <w:rPr>
                <w:rStyle w:val="Lienhypertexte"/>
                <w:rFonts w:eastAsiaTheme="majorEastAsia"/>
                <w:noProof/>
              </w:rPr>
              <w:t>5.3.4 – Délais particuliers</w:t>
            </w:r>
            <w:r w:rsidR="00936371">
              <w:rPr>
                <w:noProof/>
                <w:webHidden/>
              </w:rPr>
              <w:tab/>
            </w:r>
            <w:r w:rsidR="00936371">
              <w:rPr>
                <w:noProof/>
                <w:webHidden/>
              </w:rPr>
              <w:fldChar w:fldCharType="begin"/>
            </w:r>
            <w:r w:rsidR="00936371">
              <w:rPr>
                <w:noProof/>
                <w:webHidden/>
              </w:rPr>
              <w:instrText xml:space="preserve"> PAGEREF _Toc64622208 \h </w:instrText>
            </w:r>
            <w:r w:rsidR="00936371">
              <w:rPr>
                <w:noProof/>
                <w:webHidden/>
              </w:rPr>
            </w:r>
            <w:r w:rsidR="00936371">
              <w:rPr>
                <w:noProof/>
                <w:webHidden/>
              </w:rPr>
              <w:fldChar w:fldCharType="separate"/>
            </w:r>
            <w:r w:rsidR="00936371">
              <w:rPr>
                <w:noProof/>
                <w:webHidden/>
              </w:rPr>
              <w:t>17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09" w:history="1">
            <w:r w:rsidR="00936371" w:rsidRPr="0029693F">
              <w:rPr>
                <w:rStyle w:val="Lienhypertexte"/>
                <w:rFonts w:eastAsiaTheme="majorEastAsia"/>
                <w:noProof/>
              </w:rPr>
              <w:t>5.3.5 – Autres pénalités</w:t>
            </w:r>
            <w:r w:rsidR="00936371">
              <w:rPr>
                <w:noProof/>
                <w:webHidden/>
              </w:rPr>
              <w:tab/>
            </w:r>
            <w:r w:rsidR="00936371">
              <w:rPr>
                <w:noProof/>
                <w:webHidden/>
              </w:rPr>
              <w:fldChar w:fldCharType="begin"/>
            </w:r>
            <w:r w:rsidR="00936371">
              <w:rPr>
                <w:noProof/>
                <w:webHidden/>
              </w:rPr>
              <w:instrText xml:space="preserve"> PAGEREF _Toc64622209 \h </w:instrText>
            </w:r>
            <w:r w:rsidR="00936371">
              <w:rPr>
                <w:noProof/>
                <w:webHidden/>
              </w:rPr>
            </w:r>
            <w:r w:rsidR="00936371">
              <w:rPr>
                <w:noProof/>
                <w:webHidden/>
              </w:rPr>
              <w:fldChar w:fldCharType="separate"/>
            </w:r>
            <w:r w:rsidR="00936371">
              <w:rPr>
                <w:noProof/>
                <w:webHidden/>
              </w:rPr>
              <w:t>18</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0" w:history="1">
            <w:r w:rsidR="00936371" w:rsidRPr="0029693F">
              <w:rPr>
                <w:rStyle w:val="Lienhypertexte"/>
                <w:rFonts w:eastAsiaTheme="majorEastAsia"/>
                <w:noProof/>
              </w:rPr>
              <w:t>5.3.6 – Plafonnement des pénalités</w:t>
            </w:r>
            <w:r w:rsidR="00936371">
              <w:rPr>
                <w:noProof/>
                <w:webHidden/>
              </w:rPr>
              <w:tab/>
            </w:r>
            <w:r w:rsidR="00936371">
              <w:rPr>
                <w:noProof/>
                <w:webHidden/>
              </w:rPr>
              <w:fldChar w:fldCharType="begin"/>
            </w:r>
            <w:r w:rsidR="00936371">
              <w:rPr>
                <w:noProof/>
                <w:webHidden/>
              </w:rPr>
              <w:instrText xml:space="preserve"> PAGEREF _Toc64622210 \h </w:instrText>
            </w:r>
            <w:r w:rsidR="00936371">
              <w:rPr>
                <w:noProof/>
                <w:webHidden/>
              </w:rPr>
            </w:r>
            <w:r w:rsidR="00936371">
              <w:rPr>
                <w:noProof/>
                <w:webHidden/>
              </w:rPr>
              <w:fldChar w:fldCharType="separate"/>
            </w:r>
            <w:r w:rsidR="00936371">
              <w:rPr>
                <w:noProof/>
                <w:webHidden/>
              </w:rPr>
              <w:t>18</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1" w:history="1">
            <w:r w:rsidR="00936371" w:rsidRPr="0029693F">
              <w:rPr>
                <w:rStyle w:val="Lienhypertexte"/>
                <w:rFonts w:eastAsiaTheme="majorEastAsia"/>
                <w:noProof/>
              </w:rPr>
              <w:t>5.3.7 – Modalités en cas de groupement</w:t>
            </w:r>
            <w:r w:rsidR="00936371">
              <w:rPr>
                <w:noProof/>
                <w:webHidden/>
              </w:rPr>
              <w:tab/>
            </w:r>
            <w:r w:rsidR="00936371">
              <w:rPr>
                <w:noProof/>
                <w:webHidden/>
              </w:rPr>
              <w:fldChar w:fldCharType="begin"/>
            </w:r>
            <w:r w:rsidR="00936371">
              <w:rPr>
                <w:noProof/>
                <w:webHidden/>
              </w:rPr>
              <w:instrText xml:space="preserve"> PAGEREF _Toc64622211 \h </w:instrText>
            </w:r>
            <w:r w:rsidR="00936371">
              <w:rPr>
                <w:noProof/>
                <w:webHidden/>
              </w:rPr>
            </w:r>
            <w:r w:rsidR="00936371">
              <w:rPr>
                <w:noProof/>
                <w:webHidden/>
              </w:rPr>
              <w:fldChar w:fldCharType="separate"/>
            </w:r>
            <w:r w:rsidR="00936371">
              <w:rPr>
                <w:noProof/>
                <w:webHidden/>
              </w:rPr>
              <w:t>18</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12" w:history="1">
            <w:r w:rsidR="00936371" w:rsidRPr="0029693F">
              <w:rPr>
                <w:rStyle w:val="Lienhypertexte"/>
                <w:rFonts w:eastAsiaTheme="majorEastAsia"/>
                <w:noProof/>
              </w:rPr>
              <w:t>ARTICLE 6 -  VERIFICATION, ADMISSION, REFACTION</w:t>
            </w:r>
            <w:r w:rsidR="00936371">
              <w:rPr>
                <w:noProof/>
                <w:webHidden/>
              </w:rPr>
              <w:tab/>
            </w:r>
            <w:r w:rsidR="00936371">
              <w:rPr>
                <w:noProof/>
                <w:webHidden/>
              </w:rPr>
              <w:fldChar w:fldCharType="begin"/>
            </w:r>
            <w:r w:rsidR="00936371">
              <w:rPr>
                <w:noProof/>
                <w:webHidden/>
              </w:rPr>
              <w:instrText xml:space="preserve"> PAGEREF _Toc64622212 \h </w:instrText>
            </w:r>
            <w:r w:rsidR="00936371">
              <w:rPr>
                <w:noProof/>
                <w:webHidden/>
              </w:rPr>
            </w:r>
            <w:r w:rsidR="00936371">
              <w:rPr>
                <w:noProof/>
                <w:webHidden/>
              </w:rPr>
              <w:fldChar w:fldCharType="separate"/>
            </w:r>
            <w:r w:rsidR="00936371">
              <w:rPr>
                <w:noProof/>
                <w:webHidden/>
              </w:rPr>
              <w:t>19</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13" w:history="1">
            <w:r w:rsidR="00936371" w:rsidRPr="0029693F">
              <w:rPr>
                <w:rStyle w:val="Lienhypertexte"/>
                <w:rFonts w:eastAsiaTheme="majorEastAsia"/>
                <w:noProof/>
              </w:rPr>
              <w:t>ARTICLE 7 – CONTENU ET CARACTERE DES PRIX</w:t>
            </w:r>
            <w:r w:rsidR="00936371">
              <w:rPr>
                <w:noProof/>
                <w:webHidden/>
              </w:rPr>
              <w:tab/>
            </w:r>
            <w:r w:rsidR="00936371">
              <w:rPr>
                <w:noProof/>
                <w:webHidden/>
              </w:rPr>
              <w:fldChar w:fldCharType="begin"/>
            </w:r>
            <w:r w:rsidR="00936371">
              <w:rPr>
                <w:noProof/>
                <w:webHidden/>
              </w:rPr>
              <w:instrText xml:space="preserve"> PAGEREF _Toc64622213 \h </w:instrText>
            </w:r>
            <w:r w:rsidR="00936371">
              <w:rPr>
                <w:noProof/>
                <w:webHidden/>
              </w:rPr>
            </w:r>
            <w:r w:rsidR="00936371">
              <w:rPr>
                <w:noProof/>
                <w:webHidden/>
              </w:rPr>
              <w:fldChar w:fldCharType="separate"/>
            </w:r>
            <w:r w:rsidR="00936371">
              <w:rPr>
                <w:noProof/>
                <w:webHidden/>
              </w:rPr>
              <w:t>20</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14" w:history="1">
            <w:r w:rsidR="00936371" w:rsidRPr="0029693F">
              <w:rPr>
                <w:rStyle w:val="Lienhypertexte"/>
                <w:rFonts w:eastAsiaTheme="majorEastAsia"/>
                <w:noProof/>
              </w:rPr>
              <w:t>7.1 – CONTENU DES PRIX</w:t>
            </w:r>
            <w:r w:rsidR="00936371">
              <w:rPr>
                <w:noProof/>
                <w:webHidden/>
              </w:rPr>
              <w:tab/>
            </w:r>
            <w:r w:rsidR="00936371">
              <w:rPr>
                <w:noProof/>
                <w:webHidden/>
              </w:rPr>
              <w:fldChar w:fldCharType="begin"/>
            </w:r>
            <w:r w:rsidR="00936371">
              <w:rPr>
                <w:noProof/>
                <w:webHidden/>
              </w:rPr>
              <w:instrText xml:space="preserve"> PAGEREF _Toc64622214 \h </w:instrText>
            </w:r>
            <w:r w:rsidR="00936371">
              <w:rPr>
                <w:noProof/>
                <w:webHidden/>
              </w:rPr>
            </w:r>
            <w:r w:rsidR="00936371">
              <w:rPr>
                <w:noProof/>
                <w:webHidden/>
              </w:rPr>
              <w:fldChar w:fldCharType="separate"/>
            </w:r>
            <w:r w:rsidR="00936371">
              <w:rPr>
                <w:noProof/>
                <w:webHidden/>
              </w:rPr>
              <w:t>20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5" w:history="1">
            <w:r w:rsidR="00936371" w:rsidRPr="0029693F">
              <w:rPr>
                <w:rStyle w:val="Lienhypertexte"/>
                <w:rFonts w:eastAsiaTheme="majorEastAsia"/>
                <w:noProof/>
              </w:rPr>
              <w:t>7.1.1 – Dispositions générales</w:t>
            </w:r>
            <w:r w:rsidR="00936371">
              <w:rPr>
                <w:noProof/>
                <w:webHidden/>
              </w:rPr>
              <w:tab/>
            </w:r>
            <w:r w:rsidR="00936371">
              <w:rPr>
                <w:noProof/>
                <w:webHidden/>
              </w:rPr>
              <w:fldChar w:fldCharType="begin"/>
            </w:r>
            <w:r w:rsidR="00936371">
              <w:rPr>
                <w:noProof/>
                <w:webHidden/>
              </w:rPr>
              <w:instrText xml:space="preserve"> PAGEREF _Toc64622215 \h </w:instrText>
            </w:r>
            <w:r w:rsidR="00936371">
              <w:rPr>
                <w:noProof/>
                <w:webHidden/>
              </w:rPr>
            </w:r>
            <w:r w:rsidR="00936371">
              <w:rPr>
                <w:noProof/>
                <w:webHidden/>
              </w:rPr>
              <w:fldChar w:fldCharType="separate"/>
            </w:r>
            <w:r w:rsidR="00936371">
              <w:rPr>
                <w:noProof/>
                <w:webHidden/>
              </w:rPr>
              <w:t>20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6" w:history="1">
            <w:r w:rsidR="00936371" w:rsidRPr="0029693F">
              <w:rPr>
                <w:rStyle w:val="Lienhypertexte"/>
                <w:rFonts w:eastAsiaTheme="majorEastAsia"/>
                <w:noProof/>
              </w:rPr>
              <w:t>7.1.2 – Exonération de taxes</w:t>
            </w:r>
            <w:r w:rsidR="00936371">
              <w:rPr>
                <w:noProof/>
                <w:webHidden/>
              </w:rPr>
              <w:tab/>
            </w:r>
            <w:r w:rsidR="00936371">
              <w:rPr>
                <w:noProof/>
                <w:webHidden/>
              </w:rPr>
              <w:fldChar w:fldCharType="begin"/>
            </w:r>
            <w:r w:rsidR="00936371">
              <w:rPr>
                <w:noProof/>
                <w:webHidden/>
              </w:rPr>
              <w:instrText xml:space="preserve"> PAGEREF _Toc64622216 \h </w:instrText>
            </w:r>
            <w:r w:rsidR="00936371">
              <w:rPr>
                <w:noProof/>
                <w:webHidden/>
              </w:rPr>
            </w:r>
            <w:r w:rsidR="00936371">
              <w:rPr>
                <w:noProof/>
                <w:webHidden/>
              </w:rPr>
              <w:fldChar w:fldCharType="separate"/>
            </w:r>
            <w:r w:rsidR="00936371">
              <w:rPr>
                <w:noProof/>
                <w:webHidden/>
              </w:rPr>
              <w:t>20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7" w:history="1">
            <w:r w:rsidR="00936371" w:rsidRPr="0029693F">
              <w:rPr>
                <w:rStyle w:val="Lienhypertexte"/>
                <w:rFonts w:eastAsiaTheme="majorEastAsia"/>
                <w:noProof/>
              </w:rPr>
              <w:t>7.1.3 – Sujétions liées aux intempéries</w:t>
            </w:r>
            <w:r w:rsidR="00936371">
              <w:rPr>
                <w:noProof/>
                <w:webHidden/>
              </w:rPr>
              <w:tab/>
            </w:r>
            <w:r w:rsidR="00936371">
              <w:rPr>
                <w:noProof/>
                <w:webHidden/>
              </w:rPr>
              <w:fldChar w:fldCharType="begin"/>
            </w:r>
            <w:r w:rsidR="00936371">
              <w:rPr>
                <w:noProof/>
                <w:webHidden/>
              </w:rPr>
              <w:instrText xml:space="preserve"> PAGEREF _Toc64622217 \h </w:instrText>
            </w:r>
            <w:r w:rsidR="00936371">
              <w:rPr>
                <w:noProof/>
                <w:webHidden/>
              </w:rPr>
            </w:r>
            <w:r w:rsidR="00936371">
              <w:rPr>
                <w:noProof/>
                <w:webHidden/>
              </w:rPr>
              <w:fldChar w:fldCharType="separate"/>
            </w:r>
            <w:r w:rsidR="00936371">
              <w:rPr>
                <w:noProof/>
                <w:webHidden/>
              </w:rPr>
              <w:t>20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8" w:history="1">
            <w:r w:rsidR="00936371" w:rsidRPr="0029693F">
              <w:rPr>
                <w:rStyle w:val="Lienhypertexte"/>
                <w:rFonts w:eastAsiaTheme="majorEastAsia"/>
                <w:noProof/>
              </w:rPr>
              <w:t>7.1.4 – Exécution simultanée ou imbriquée de prestations effectuées par d’autres prestataires</w:t>
            </w:r>
            <w:r w:rsidR="00936371">
              <w:rPr>
                <w:noProof/>
                <w:webHidden/>
              </w:rPr>
              <w:tab/>
            </w:r>
            <w:r w:rsidR="00936371">
              <w:rPr>
                <w:noProof/>
                <w:webHidden/>
              </w:rPr>
              <w:fldChar w:fldCharType="begin"/>
            </w:r>
            <w:r w:rsidR="00936371">
              <w:rPr>
                <w:noProof/>
                <w:webHidden/>
              </w:rPr>
              <w:instrText xml:space="preserve"> PAGEREF _Toc64622218 \h </w:instrText>
            </w:r>
            <w:r w:rsidR="00936371">
              <w:rPr>
                <w:noProof/>
                <w:webHidden/>
              </w:rPr>
            </w:r>
            <w:r w:rsidR="00936371">
              <w:rPr>
                <w:noProof/>
                <w:webHidden/>
              </w:rPr>
              <w:fldChar w:fldCharType="separate"/>
            </w:r>
            <w:r w:rsidR="00936371">
              <w:rPr>
                <w:noProof/>
                <w:webHidden/>
              </w:rPr>
              <w:t>21</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19" w:history="1">
            <w:r w:rsidR="00936371" w:rsidRPr="0029693F">
              <w:rPr>
                <w:rStyle w:val="Lienhypertexte"/>
                <w:rFonts w:eastAsiaTheme="majorEastAsia"/>
                <w:noProof/>
              </w:rPr>
              <w:t>7.1.5 – Sujétions exclues des prix du marché</w:t>
            </w:r>
            <w:r w:rsidR="00936371">
              <w:rPr>
                <w:noProof/>
                <w:webHidden/>
              </w:rPr>
              <w:tab/>
            </w:r>
            <w:r w:rsidR="00936371">
              <w:rPr>
                <w:noProof/>
                <w:webHidden/>
              </w:rPr>
              <w:fldChar w:fldCharType="begin"/>
            </w:r>
            <w:r w:rsidR="00936371">
              <w:rPr>
                <w:noProof/>
                <w:webHidden/>
              </w:rPr>
              <w:instrText xml:space="preserve"> PAGEREF _Toc64622219 \h </w:instrText>
            </w:r>
            <w:r w:rsidR="00936371">
              <w:rPr>
                <w:noProof/>
                <w:webHidden/>
              </w:rPr>
            </w:r>
            <w:r w:rsidR="00936371">
              <w:rPr>
                <w:noProof/>
                <w:webHidden/>
              </w:rPr>
              <w:fldChar w:fldCharType="separate"/>
            </w:r>
            <w:r w:rsidR="00936371">
              <w:rPr>
                <w:noProof/>
                <w:webHidden/>
              </w:rPr>
              <w:t>21</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0" w:history="1">
            <w:r w:rsidR="00936371" w:rsidRPr="0029693F">
              <w:rPr>
                <w:rStyle w:val="Lienhypertexte"/>
                <w:rFonts w:eastAsiaTheme="majorEastAsia"/>
                <w:noProof/>
              </w:rPr>
              <w:t>7.1.6 – Fourniture de sous-détails de prix</w:t>
            </w:r>
            <w:r w:rsidR="00936371">
              <w:rPr>
                <w:noProof/>
                <w:webHidden/>
              </w:rPr>
              <w:tab/>
            </w:r>
            <w:r w:rsidR="00936371">
              <w:rPr>
                <w:noProof/>
                <w:webHidden/>
              </w:rPr>
              <w:fldChar w:fldCharType="begin"/>
            </w:r>
            <w:r w:rsidR="00936371">
              <w:rPr>
                <w:noProof/>
                <w:webHidden/>
              </w:rPr>
              <w:instrText xml:space="preserve"> PAGEREF _Toc64622220 \h </w:instrText>
            </w:r>
            <w:r w:rsidR="00936371">
              <w:rPr>
                <w:noProof/>
                <w:webHidden/>
              </w:rPr>
            </w:r>
            <w:r w:rsidR="00936371">
              <w:rPr>
                <w:noProof/>
                <w:webHidden/>
              </w:rPr>
              <w:fldChar w:fldCharType="separate"/>
            </w:r>
            <w:r w:rsidR="00936371">
              <w:rPr>
                <w:noProof/>
                <w:webHidden/>
              </w:rPr>
              <w:t>21</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21" w:history="1">
            <w:r w:rsidR="00936371" w:rsidRPr="0029693F">
              <w:rPr>
                <w:rStyle w:val="Lienhypertexte"/>
                <w:rFonts w:eastAsiaTheme="majorEastAsia"/>
                <w:noProof/>
              </w:rPr>
              <w:t>7.2 – CARACTERE DES PRIX</w:t>
            </w:r>
            <w:r w:rsidR="00936371">
              <w:rPr>
                <w:noProof/>
                <w:webHidden/>
              </w:rPr>
              <w:tab/>
            </w:r>
            <w:r w:rsidR="00936371">
              <w:rPr>
                <w:noProof/>
                <w:webHidden/>
              </w:rPr>
              <w:fldChar w:fldCharType="begin"/>
            </w:r>
            <w:r w:rsidR="00936371">
              <w:rPr>
                <w:noProof/>
                <w:webHidden/>
              </w:rPr>
              <w:instrText xml:space="preserve"> PAGEREF _Toc64622221 \h </w:instrText>
            </w:r>
            <w:r w:rsidR="00936371">
              <w:rPr>
                <w:noProof/>
                <w:webHidden/>
              </w:rPr>
            </w:r>
            <w:r w:rsidR="00936371">
              <w:rPr>
                <w:noProof/>
                <w:webHidden/>
              </w:rPr>
              <w:fldChar w:fldCharType="separate"/>
            </w:r>
            <w:r w:rsidR="00936371">
              <w:rPr>
                <w:noProof/>
                <w:webHidden/>
              </w:rPr>
              <w:t>21</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2" w:history="1">
            <w:r w:rsidR="00936371" w:rsidRPr="0029693F">
              <w:rPr>
                <w:rStyle w:val="Lienhypertexte"/>
                <w:rFonts w:eastAsiaTheme="majorEastAsia"/>
                <w:noProof/>
              </w:rPr>
              <w:t>7.2.1 – Prestations réglées au forfait</w:t>
            </w:r>
            <w:r w:rsidR="00936371">
              <w:rPr>
                <w:noProof/>
                <w:webHidden/>
              </w:rPr>
              <w:tab/>
            </w:r>
            <w:r w:rsidR="00936371">
              <w:rPr>
                <w:noProof/>
                <w:webHidden/>
              </w:rPr>
              <w:fldChar w:fldCharType="begin"/>
            </w:r>
            <w:r w:rsidR="00936371">
              <w:rPr>
                <w:noProof/>
                <w:webHidden/>
              </w:rPr>
              <w:instrText xml:space="preserve"> PAGEREF _Toc64622222 \h </w:instrText>
            </w:r>
            <w:r w:rsidR="00936371">
              <w:rPr>
                <w:noProof/>
                <w:webHidden/>
              </w:rPr>
            </w:r>
            <w:r w:rsidR="00936371">
              <w:rPr>
                <w:noProof/>
                <w:webHidden/>
              </w:rPr>
              <w:fldChar w:fldCharType="separate"/>
            </w:r>
            <w:r w:rsidR="00936371">
              <w:rPr>
                <w:noProof/>
                <w:webHidden/>
              </w:rPr>
              <w:t>21</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3" w:history="1">
            <w:r w:rsidR="00936371" w:rsidRPr="0029693F">
              <w:rPr>
                <w:rStyle w:val="Lienhypertexte"/>
                <w:rFonts w:eastAsiaTheme="majorEastAsia"/>
                <w:noProof/>
              </w:rPr>
              <w:t>7.2.2 – Prestations réglées sur prix unitaires</w:t>
            </w:r>
            <w:r w:rsidR="00936371">
              <w:rPr>
                <w:noProof/>
                <w:webHidden/>
              </w:rPr>
              <w:tab/>
            </w:r>
            <w:r w:rsidR="00936371">
              <w:rPr>
                <w:noProof/>
                <w:webHidden/>
              </w:rPr>
              <w:fldChar w:fldCharType="begin"/>
            </w:r>
            <w:r w:rsidR="00936371">
              <w:rPr>
                <w:noProof/>
                <w:webHidden/>
              </w:rPr>
              <w:instrText xml:space="preserve"> PAGEREF _Toc64622223 \h </w:instrText>
            </w:r>
            <w:r w:rsidR="00936371">
              <w:rPr>
                <w:noProof/>
                <w:webHidden/>
              </w:rPr>
            </w:r>
            <w:r w:rsidR="00936371">
              <w:rPr>
                <w:noProof/>
                <w:webHidden/>
              </w:rPr>
              <w:fldChar w:fldCharType="separate"/>
            </w:r>
            <w:r w:rsidR="00936371">
              <w:rPr>
                <w:noProof/>
                <w:webHidden/>
              </w:rPr>
              <w:t>22</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4" w:history="1">
            <w:r w:rsidR="00936371" w:rsidRPr="0029693F">
              <w:rPr>
                <w:rStyle w:val="Lienhypertexte"/>
                <w:rFonts w:eastAsiaTheme="majorEastAsia"/>
                <w:noProof/>
              </w:rPr>
              <w:t>7.2.3 – Caractère provisoire ou définitif</w:t>
            </w:r>
            <w:r w:rsidR="00936371">
              <w:rPr>
                <w:noProof/>
                <w:webHidden/>
              </w:rPr>
              <w:tab/>
            </w:r>
            <w:r w:rsidR="00936371">
              <w:rPr>
                <w:noProof/>
                <w:webHidden/>
              </w:rPr>
              <w:fldChar w:fldCharType="begin"/>
            </w:r>
            <w:r w:rsidR="00936371">
              <w:rPr>
                <w:noProof/>
                <w:webHidden/>
              </w:rPr>
              <w:instrText xml:space="preserve"> PAGEREF _Toc64622224 \h </w:instrText>
            </w:r>
            <w:r w:rsidR="00936371">
              <w:rPr>
                <w:noProof/>
                <w:webHidden/>
              </w:rPr>
            </w:r>
            <w:r w:rsidR="00936371">
              <w:rPr>
                <w:noProof/>
                <w:webHidden/>
              </w:rPr>
              <w:fldChar w:fldCharType="separate"/>
            </w:r>
            <w:r w:rsidR="00936371">
              <w:rPr>
                <w:noProof/>
                <w:webHidden/>
              </w:rPr>
              <w:t>22</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5" w:history="1">
            <w:r w:rsidR="00936371" w:rsidRPr="0029693F">
              <w:rPr>
                <w:rStyle w:val="Lienhypertexte"/>
                <w:rFonts w:eastAsiaTheme="majorEastAsia"/>
                <w:noProof/>
              </w:rPr>
              <w:t>7.2.4 – Variation des prix</w:t>
            </w:r>
            <w:r w:rsidR="00936371">
              <w:rPr>
                <w:noProof/>
                <w:webHidden/>
              </w:rPr>
              <w:tab/>
            </w:r>
            <w:r w:rsidR="00936371">
              <w:rPr>
                <w:noProof/>
                <w:webHidden/>
              </w:rPr>
              <w:fldChar w:fldCharType="begin"/>
            </w:r>
            <w:r w:rsidR="00936371">
              <w:rPr>
                <w:noProof/>
                <w:webHidden/>
              </w:rPr>
              <w:instrText xml:space="preserve"> PAGEREF _Toc64622225 \h </w:instrText>
            </w:r>
            <w:r w:rsidR="00936371">
              <w:rPr>
                <w:noProof/>
                <w:webHidden/>
              </w:rPr>
            </w:r>
            <w:r w:rsidR="00936371">
              <w:rPr>
                <w:noProof/>
                <w:webHidden/>
              </w:rPr>
              <w:fldChar w:fldCharType="separate"/>
            </w:r>
            <w:r w:rsidR="00936371">
              <w:rPr>
                <w:noProof/>
                <w:webHidden/>
              </w:rPr>
              <w:t>22</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26" w:history="1">
            <w:r w:rsidR="00936371" w:rsidRPr="0029693F">
              <w:rPr>
                <w:rStyle w:val="Lienhypertexte"/>
                <w:rFonts w:eastAsiaTheme="majorEastAsia"/>
                <w:noProof/>
              </w:rPr>
              <w:t>ARTICLE 8 – MARCHE SUBSEQUENT : DETERMINATION DU PRIX DE REGLEMENT – VARIATION DES PRIX – APPROVISIONNEMENTS – AVANCES – AUTO-LIQUIDATION TGC</w:t>
            </w:r>
            <w:r w:rsidR="00936371">
              <w:rPr>
                <w:noProof/>
                <w:webHidden/>
              </w:rPr>
              <w:tab/>
            </w:r>
            <w:r w:rsidR="00936371">
              <w:rPr>
                <w:noProof/>
                <w:webHidden/>
              </w:rPr>
              <w:fldChar w:fldCharType="begin"/>
            </w:r>
            <w:r w:rsidR="00936371">
              <w:rPr>
                <w:noProof/>
                <w:webHidden/>
              </w:rPr>
              <w:instrText xml:space="preserve"> PAGEREF _Toc64622226 \h </w:instrText>
            </w:r>
            <w:r w:rsidR="00936371">
              <w:rPr>
                <w:noProof/>
                <w:webHidden/>
              </w:rPr>
            </w:r>
            <w:r w:rsidR="00936371">
              <w:rPr>
                <w:noProof/>
                <w:webHidden/>
              </w:rPr>
              <w:fldChar w:fldCharType="separate"/>
            </w:r>
            <w:r w:rsidR="00936371">
              <w:rPr>
                <w:noProof/>
                <w:webHidden/>
              </w:rPr>
              <w:t>23</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27" w:history="1">
            <w:r w:rsidR="00936371" w:rsidRPr="0029693F">
              <w:rPr>
                <w:rStyle w:val="Lienhypertexte"/>
                <w:rFonts w:eastAsiaTheme="majorEastAsia"/>
                <w:noProof/>
              </w:rPr>
              <w:t>8.1 – DETERMINATION DU PRIX DE REGLEMENT</w:t>
            </w:r>
            <w:r w:rsidR="00936371">
              <w:rPr>
                <w:noProof/>
                <w:webHidden/>
              </w:rPr>
              <w:tab/>
            </w:r>
            <w:r w:rsidR="00936371">
              <w:rPr>
                <w:noProof/>
                <w:webHidden/>
              </w:rPr>
              <w:fldChar w:fldCharType="begin"/>
            </w:r>
            <w:r w:rsidR="00936371">
              <w:rPr>
                <w:noProof/>
                <w:webHidden/>
              </w:rPr>
              <w:instrText xml:space="preserve"> PAGEREF _Toc64622227 \h </w:instrText>
            </w:r>
            <w:r w:rsidR="00936371">
              <w:rPr>
                <w:noProof/>
                <w:webHidden/>
              </w:rPr>
            </w:r>
            <w:r w:rsidR="00936371">
              <w:rPr>
                <w:noProof/>
                <w:webHidden/>
              </w:rPr>
              <w:fldChar w:fldCharType="separate"/>
            </w:r>
            <w:r w:rsidR="00936371">
              <w:rPr>
                <w:noProof/>
                <w:webHidden/>
              </w:rPr>
              <w:t>23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8" w:history="1">
            <w:r w:rsidR="00936371" w:rsidRPr="0029693F">
              <w:rPr>
                <w:rStyle w:val="Lienhypertexte"/>
                <w:rFonts w:eastAsiaTheme="majorEastAsia"/>
                <w:noProof/>
              </w:rPr>
              <w:t>8.1.1 – Prix de base</w:t>
            </w:r>
            <w:r w:rsidR="00936371">
              <w:rPr>
                <w:noProof/>
                <w:webHidden/>
              </w:rPr>
              <w:tab/>
            </w:r>
            <w:r w:rsidR="00936371">
              <w:rPr>
                <w:noProof/>
                <w:webHidden/>
              </w:rPr>
              <w:fldChar w:fldCharType="begin"/>
            </w:r>
            <w:r w:rsidR="00936371">
              <w:rPr>
                <w:noProof/>
                <w:webHidden/>
              </w:rPr>
              <w:instrText xml:space="preserve"> PAGEREF _Toc64622228 \h </w:instrText>
            </w:r>
            <w:r w:rsidR="00936371">
              <w:rPr>
                <w:noProof/>
                <w:webHidden/>
              </w:rPr>
            </w:r>
            <w:r w:rsidR="00936371">
              <w:rPr>
                <w:noProof/>
                <w:webHidden/>
              </w:rPr>
              <w:fldChar w:fldCharType="separate"/>
            </w:r>
            <w:r w:rsidR="00936371">
              <w:rPr>
                <w:noProof/>
                <w:webHidden/>
              </w:rPr>
              <w:t>23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29" w:history="1">
            <w:r w:rsidR="00936371" w:rsidRPr="0029693F">
              <w:rPr>
                <w:rStyle w:val="Lienhypertexte"/>
                <w:rFonts w:eastAsiaTheme="majorEastAsia"/>
                <w:noProof/>
              </w:rPr>
              <w:t>8.1.2 – Modalités de règlement</w:t>
            </w:r>
            <w:r w:rsidR="00936371">
              <w:rPr>
                <w:noProof/>
                <w:webHidden/>
              </w:rPr>
              <w:tab/>
            </w:r>
            <w:r w:rsidR="00936371">
              <w:rPr>
                <w:noProof/>
                <w:webHidden/>
              </w:rPr>
              <w:fldChar w:fldCharType="begin"/>
            </w:r>
            <w:r w:rsidR="00936371">
              <w:rPr>
                <w:noProof/>
                <w:webHidden/>
              </w:rPr>
              <w:instrText xml:space="preserve"> PAGEREF _Toc64622229 \h </w:instrText>
            </w:r>
            <w:r w:rsidR="00936371">
              <w:rPr>
                <w:noProof/>
                <w:webHidden/>
              </w:rPr>
            </w:r>
            <w:r w:rsidR="00936371">
              <w:rPr>
                <w:noProof/>
                <w:webHidden/>
              </w:rPr>
              <w:fldChar w:fldCharType="separate"/>
            </w:r>
            <w:r w:rsidR="00936371">
              <w:rPr>
                <w:noProof/>
                <w:webHidden/>
              </w:rPr>
              <w:t>23</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230" w:history="1">
            <w:r w:rsidR="00936371" w:rsidRPr="0029693F">
              <w:rPr>
                <w:rStyle w:val="Lienhypertexte"/>
                <w:rFonts w:eastAsiaTheme="majorEastAsia"/>
                <w:noProof/>
              </w:rPr>
              <w:t>8.1.2.1 – Décomptes et acomptes rattachés à l’ensemble du marché subséquent</w:t>
            </w:r>
            <w:r w:rsidR="00936371">
              <w:rPr>
                <w:noProof/>
                <w:webHidden/>
              </w:rPr>
              <w:tab/>
            </w:r>
            <w:r w:rsidR="00936371">
              <w:rPr>
                <w:noProof/>
                <w:webHidden/>
              </w:rPr>
              <w:fldChar w:fldCharType="begin"/>
            </w:r>
            <w:r w:rsidR="00936371">
              <w:rPr>
                <w:noProof/>
                <w:webHidden/>
              </w:rPr>
              <w:instrText xml:space="preserve"> PAGEREF _Toc64622230 \h </w:instrText>
            </w:r>
            <w:r w:rsidR="00936371">
              <w:rPr>
                <w:noProof/>
                <w:webHidden/>
              </w:rPr>
            </w:r>
            <w:r w:rsidR="00936371">
              <w:rPr>
                <w:noProof/>
                <w:webHidden/>
              </w:rPr>
              <w:fldChar w:fldCharType="separate"/>
            </w:r>
            <w:r w:rsidR="00936371">
              <w:rPr>
                <w:noProof/>
                <w:webHidden/>
              </w:rPr>
              <w:t>23</w:t>
            </w:r>
            <w:r w:rsidR="00936371">
              <w:rPr>
                <w:noProof/>
                <w:webHidden/>
              </w:rPr>
              <w:fldChar w:fldCharType="end"/>
            </w:r>
          </w:hyperlink>
        </w:p>
        <w:p w:rsidR="00936371" w:rsidRDefault="00F2448C">
          <w:pPr>
            <w:pStyle w:val="TM4"/>
            <w:tabs>
              <w:tab w:val="right" w:leader="dot" w:pos="9062"/>
            </w:tabs>
            <w:rPr>
              <w:rFonts w:eastAsiaTheme="minorEastAsia" w:cstheme="minorBidi"/>
              <w:noProof/>
              <w:sz w:val="22"/>
              <w:szCs w:val="22"/>
              <w:lang w:eastAsia="fr-FR"/>
            </w:rPr>
          </w:pPr>
          <w:hyperlink w:anchor="_Toc64622231" w:history="1">
            <w:r w:rsidR="00936371" w:rsidRPr="0029693F">
              <w:rPr>
                <w:rStyle w:val="Lienhypertexte"/>
                <w:rFonts w:eastAsiaTheme="majorEastAsia"/>
                <w:noProof/>
              </w:rPr>
              <w:t>8.1.2.2 – Factures</w:t>
            </w:r>
            <w:r w:rsidR="00936371">
              <w:rPr>
                <w:noProof/>
                <w:webHidden/>
              </w:rPr>
              <w:tab/>
            </w:r>
            <w:r w:rsidR="00936371">
              <w:rPr>
                <w:noProof/>
                <w:webHidden/>
              </w:rPr>
              <w:fldChar w:fldCharType="begin"/>
            </w:r>
            <w:r w:rsidR="00936371">
              <w:rPr>
                <w:noProof/>
                <w:webHidden/>
              </w:rPr>
              <w:instrText xml:space="preserve"> PAGEREF _Toc64622231 \h </w:instrText>
            </w:r>
            <w:r w:rsidR="00936371">
              <w:rPr>
                <w:noProof/>
                <w:webHidden/>
              </w:rPr>
            </w:r>
            <w:r w:rsidR="00936371">
              <w:rPr>
                <w:noProof/>
                <w:webHidden/>
              </w:rPr>
              <w:fldChar w:fldCharType="separate"/>
            </w:r>
            <w:r w:rsidR="00936371">
              <w:rPr>
                <w:noProof/>
                <w:webHidden/>
              </w:rPr>
              <w:t>24</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32" w:history="1">
            <w:r w:rsidR="00936371" w:rsidRPr="0029693F">
              <w:rPr>
                <w:rStyle w:val="Lienhypertexte"/>
                <w:rFonts w:eastAsiaTheme="majorEastAsia"/>
                <w:noProof/>
              </w:rPr>
              <w:t>8.2 –VARIATION DES PRIX – ACTUALISATION, REVISION</w:t>
            </w:r>
            <w:r w:rsidR="00936371">
              <w:rPr>
                <w:noProof/>
                <w:webHidden/>
              </w:rPr>
              <w:tab/>
            </w:r>
            <w:r w:rsidR="00936371">
              <w:rPr>
                <w:noProof/>
                <w:webHidden/>
              </w:rPr>
              <w:fldChar w:fldCharType="begin"/>
            </w:r>
            <w:r w:rsidR="00936371">
              <w:rPr>
                <w:noProof/>
                <w:webHidden/>
              </w:rPr>
              <w:instrText xml:space="preserve"> PAGEREF _Toc64622232 \h </w:instrText>
            </w:r>
            <w:r w:rsidR="00936371">
              <w:rPr>
                <w:noProof/>
                <w:webHidden/>
              </w:rPr>
            </w:r>
            <w:r w:rsidR="00936371">
              <w:rPr>
                <w:noProof/>
                <w:webHidden/>
              </w:rPr>
              <w:fldChar w:fldCharType="separate"/>
            </w:r>
            <w:r w:rsidR="00936371">
              <w:rPr>
                <w:noProof/>
                <w:webHidden/>
              </w:rPr>
              <w:t>24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33" w:history="1">
            <w:r w:rsidR="00936371" w:rsidRPr="0029693F">
              <w:rPr>
                <w:rStyle w:val="Lienhypertexte"/>
                <w:rFonts w:eastAsiaTheme="majorEastAsia"/>
                <w:noProof/>
              </w:rPr>
              <w:t>8.2.1 – Actualisation des prix fermes – lorsque la durée d’exécution du marché subséquent est inférieure à 6 mois</w:t>
            </w:r>
            <w:r w:rsidR="00936371">
              <w:rPr>
                <w:noProof/>
                <w:webHidden/>
              </w:rPr>
              <w:tab/>
            </w:r>
            <w:r w:rsidR="00936371">
              <w:rPr>
                <w:noProof/>
                <w:webHidden/>
              </w:rPr>
              <w:fldChar w:fldCharType="begin"/>
            </w:r>
            <w:r w:rsidR="00936371">
              <w:rPr>
                <w:noProof/>
                <w:webHidden/>
              </w:rPr>
              <w:instrText xml:space="preserve"> PAGEREF _Toc64622233 \h </w:instrText>
            </w:r>
            <w:r w:rsidR="00936371">
              <w:rPr>
                <w:noProof/>
                <w:webHidden/>
              </w:rPr>
            </w:r>
            <w:r w:rsidR="00936371">
              <w:rPr>
                <w:noProof/>
                <w:webHidden/>
              </w:rPr>
              <w:fldChar w:fldCharType="separate"/>
            </w:r>
            <w:r w:rsidR="00936371">
              <w:rPr>
                <w:noProof/>
                <w:webHidden/>
              </w:rPr>
              <w:t>24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34" w:history="1">
            <w:r w:rsidR="00936371" w:rsidRPr="0029693F">
              <w:rPr>
                <w:rStyle w:val="Lienhypertexte"/>
                <w:rFonts w:eastAsiaTheme="majorEastAsia"/>
                <w:noProof/>
              </w:rPr>
              <w:t>8.2.2 – Révision des prix– lorsque la durée d’exécution du marché subséquent est supérieure ou égale à 6 mois</w:t>
            </w:r>
            <w:r w:rsidR="00936371">
              <w:rPr>
                <w:noProof/>
                <w:webHidden/>
              </w:rPr>
              <w:tab/>
            </w:r>
            <w:r w:rsidR="00936371">
              <w:rPr>
                <w:noProof/>
                <w:webHidden/>
              </w:rPr>
              <w:fldChar w:fldCharType="begin"/>
            </w:r>
            <w:r w:rsidR="00936371">
              <w:rPr>
                <w:noProof/>
                <w:webHidden/>
              </w:rPr>
              <w:instrText xml:space="preserve"> PAGEREF _Toc64622234 \h </w:instrText>
            </w:r>
            <w:r w:rsidR="00936371">
              <w:rPr>
                <w:noProof/>
                <w:webHidden/>
              </w:rPr>
            </w:r>
            <w:r w:rsidR="00936371">
              <w:rPr>
                <w:noProof/>
                <w:webHidden/>
              </w:rPr>
              <w:fldChar w:fldCharType="separate"/>
            </w:r>
            <w:r w:rsidR="00936371">
              <w:rPr>
                <w:noProof/>
                <w:webHidden/>
              </w:rPr>
              <w:t>25</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35" w:history="1">
            <w:r w:rsidR="00936371" w:rsidRPr="0029693F">
              <w:rPr>
                <w:rStyle w:val="Lienhypertexte"/>
                <w:rFonts w:eastAsiaTheme="majorEastAsia"/>
                <w:noProof/>
              </w:rPr>
              <w:t>8.2.3 – Indice de référence</w:t>
            </w:r>
            <w:r w:rsidR="00936371">
              <w:rPr>
                <w:noProof/>
                <w:webHidden/>
              </w:rPr>
              <w:tab/>
            </w:r>
            <w:r w:rsidR="00936371">
              <w:rPr>
                <w:noProof/>
                <w:webHidden/>
              </w:rPr>
              <w:fldChar w:fldCharType="begin"/>
            </w:r>
            <w:r w:rsidR="00936371">
              <w:rPr>
                <w:noProof/>
                <w:webHidden/>
              </w:rPr>
              <w:instrText xml:space="preserve"> PAGEREF _Toc64622235 \h </w:instrText>
            </w:r>
            <w:r w:rsidR="00936371">
              <w:rPr>
                <w:noProof/>
                <w:webHidden/>
              </w:rPr>
            </w:r>
            <w:r w:rsidR="00936371">
              <w:rPr>
                <w:noProof/>
                <w:webHidden/>
              </w:rPr>
              <w:fldChar w:fldCharType="separate"/>
            </w:r>
            <w:r w:rsidR="00936371">
              <w:rPr>
                <w:noProof/>
                <w:webHidden/>
              </w:rPr>
              <w:t>25</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36" w:history="1">
            <w:r w:rsidR="00936371" w:rsidRPr="0029693F">
              <w:rPr>
                <w:rStyle w:val="Lienhypertexte"/>
                <w:rFonts w:eastAsiaTheme="majorEastAsia"/>
                <w:noProof/>
              </w:rPr>
              <w:t>8.2.4 – Actualisation ou révision provisoire</w:t>
            </w:r>
            <w:r w:rsidR="00936371">
              <w:rPr>
                <w:noProof/>
                <w:webHidden/>
              </w:rPr>
              <w:tab/>
            </w:r>
            <w:r w:rsidR="00936371">
              <w:rPr>
                <w:noProof/>
                <w:webHidden/>
              </w:rPr>
              <w:fldChar w:fldCharType="begin"/>
            </w:r>
            <w:r w:rsidR="00936371">
              <w:rPr>
                <w:noProof/>
                <w:webHidden/>
              </w:rPr>
              <w:instrText xml:space="preserve"> PAGEREF _Toc64622236 \h </w:instrText>
            </w:r>
            <w:r w:rsidR="00936371">
              <w:rPr>
                <w:noProof/>
                <w:webHidden/>
              </w:rPr>
            </w:r>
            <w:r w:rsidR="00936371">
              <w:rPr>
                <w:noProof/>
                <w:webHidden/>
              </w:rPr>
              <w:fldChar w:fldCharType="separate"/>
            </w:r>
            <w:r w:rsidR="00936371">
              <w:rPr>
                <w:noProof/>
                <w:webHidden/>
              </w:rPr>
              <w:t>26</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37" w:history="1">
            <w:r w:rsidR="00936371" w:rsidRPr="0029693F">
              <w:rPr>
                <w:rStyle w:val="Lienhypertexte"/>
                <w:rFonts w:eastAsiaTheme="majorEastAsia"/>
                <w:noProof/>
              </w:rPr>
              <w:t>8.3 – ACOMPTES SUR APPROVISIONNEMENTS</w:t>
            </w:r>
            <w:r w:rsidR="00936371">
              <w:rPr>
                <w:noProof/>
                <w:webHidden/>
              </w:rPr>
              <w:tab/>
            </w:r>
            <w:r w:rsidR="00936371">
              <w:rPr>
                <w:noProof/>
                <w:webHidden/>
              </w:rPr>
              <w:fldChar w:fldCharType="begin"/>
            </w:r>
            <w:r w:rsidR="00936371">
              <w:rPr>
                <w:noProof/>
                <w:webHidden/>
              </w:rPr>
              <w:instrText xml:space="preserve"> PAGEREF _Toc64622237 \h </w:instrText>
            </w:r>
            <w:r w:rsidR="00936371">
              <w:rPr>
                <w:noProof/>
                <w:webHidden/>
              </w:rPr>
            </w:r>
            <w:r w:rsidR="00936371">
              <w:rPr>
                <w:noProof/>
                <w:webHidden/>
              </w:rPr>
              <w:fldChar w:fldCharType="separate"/>
            </w:r>
            <w:r w:rsidR="00936371">
              <w:rPr>
                <w:noProof/>
                <w:webHidden/>
              </w:rPr>
              <w:t>26</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38" w:history="1">
            <w:r w:rsidR="00936371" w:rsidRPr="0029693F">
              <w:rPr>
                <w:rStyle w:val="Lienhypertexte"/>
                <w:rFonts w:eastAsiaTheme="majorEastAsia"/>
                <w:noProof/>
              </w:rPr>
              <w:t>8.4 – AVANCES</w:t>
            </w:r>
            <w:r w:rsidR="00936371">
              <w:rPr>
                <w:noProof/>
                <w:webHidden/>
              </w:rPr>
              <w:tab/>
            </w:r>
            <w:r w:rsidR="00936371">
              <w:rPr>
                <w:noProof/>
                <w:webHidden/>
              </w:rPr>
              <w:fldChar w:fldCharType="begin"/>
            </w:r>
            <w:r w:rsidR="00936371">
              <w:rPr>
                <w:noProof/>
                <w:webHidden/>
              </w:rPr>
              <w:instrText xml:space="preserve"> PAGEREF _Toc64622238 \h </w:instrText>
            </w:r>
            <w:r w:rsidR="00936371">
              <w:rPr>
                <w:noProof/>
                <w:webHidden/>
              </w:rPr>
            </w:r>
            <w:r w:rsidR="00936371">
              <w:rPr>
                <w:noProof/>
                <w:webHidden/>
              </w:rPr>
              <w:fldChar w:fldCharType="separate"/>
            </w:r>
            <w:r w:rsidR="00936371">
              <w:rPr>
                <w:noProof/>
                <w:webHidden/>
              </w:rPr>
              <w:t>27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39" w:history="1">
            <w:r w:rsidR="00936371" w:rsidRPr="0029693F">
              <w:rPr>
                <w:rStyle w:val="Lienhypertexte"/>
                <w:rFonts w:eastAsiaTheme="majorEastAsia"/>
                <w:noProof/>
              </w:rPr>
              <w:t>8.4.1 – Avances prévues par le marché</w:t>
            </w:r>
            <w:r w:rsidR="00936371">
              <w:rPr>
                <w:noProof/>
                <w:webHidden/>
              </w:rPr>
              <w:tab/>
            </w:r>
            <w:r w:rsidR="00936371">
              <w:rPr>
                <w:noProof/>
                <w:webHidden/>
              </w:rPr>
              <w:fldChar w:fldCharType="begin"/>
            </w:r>
            <w:r w:rsidR="00936371">
              <w:rPr>
                <w:noProof/>
                <w:webHidden/>
              </w:rPr>
              <w:instrText xml:space="preserve"> PAGEREF _Toc64622239 \h </w:instrText>
            </w:r>
            <w:r w:rsidR="00936371">
              <w:rPr>
                <w:noProof/>
                <w:webHidden/>
              </w:rPr>
            </w:r>
            <w:r w:rsidR="00936371">
              <w:rPr>
                <w:noProof/>
                <w:webHidden/>
              </w:rPr>
              <w:fldChar w:fldCharType="separate"/>
            </w:r>
            <w:r w:rsidR="00936371">
              <w:rPr>
                <w:noProof/>
                <w:webHidden/>
              </w:rPr>
              <w:t>27</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40" w:history="1">
            <w:r w:rsidR="00936371" w:rsidRPr="0029693F">
              <w:rPr>
                <w:rStyle w:val="Lienhypertexte"/>
                <w:rFonts w:eastAsiaTheme="majorEastAsia"/>
                <w:noProof/>
              </w:rPr>
              <w:t>8.4.2 – Conditions d’accès aux avances prévues par le marché</w:t>
            </w:r>
            <w:r w:rsidR="00936371">
              <w:rPr>
                <w:noProof/>
                <w:webHidden/>
              </w:rPr>
              <w:tab/>
            </w:r>
            <w:r w:rsidR="00936371">
              <w:rPr>
                <w:noProof/>
                <w:webHidden/>
              </w:rPr>
              <w:fldChar w:fldCharType="begin"/>
            </w:r>
            <w:r w:rsidR="00936371">
              <w:rPr>
                <w:noProof/>
                <w:webHidden/>
              </w:rPr>
              <w:instrText xml:space="preserve"> PAGEREF _Toc64622240 \h </w:instrText>
            </w:r>
            <w:r w:rsidR="00936371">
              <w:rPr>
                <w:noProof/>
                <w:webHidden/>
              </w:rPr>
            </w:r>
            <w:r w:rsidR="00936371">
              <w:rPr>
                <w:noProof/>
                <w:webHidden/>
              </w:rPr>
              <w:fldChar w:fldCharType="separate"/>
            </w:r>
            <w:r w:rsidR="00936371">
              <w:rPr>
                <w:noProof/>
                <w:webHidden/>
              </w:rPr>
              <w:t>28</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41" w:history="1">
            <w:r w:rsidR="00936371" w:rsidRPr="0029693F">
              <w:rPr>
                <w:rStyle w:val="Lienhypertexte"/>
                <w:rFonts w:eastAsiaTheme="majorEastAsia"/>
                <w:noProof/>
              </w:rPr>
              <w:t>8.4.3 – Remboursement des avances</w:t>
            </w:r>
            <w:r w:rsidR="00936371">
              <w:rPr>
                <w:noProof/>
                <w:webHidden/>
              </w:rPr>
              <w:tab/>
            </w:r>
            <w:r w:rsidR="00936371">
              <w:rPr>
                <w:noProof/>
                <w:webHidden/>
              </w:rPr>
              <w:fldChar w:fldCharType="begin"/>
            </w:r>
            <w:r w:rsidR="00936371">
              <w:rPr>
                <w:noProof/>
                <w:webHidden/>
              </w:rPr>
              <w:instrText xml:space="preserve"> PAGEREF _Toc64622241 \h </w:instrText>
            </w:r>
            <w:r w:rsidR="00936371">
              <w:rPr>
                <w:noProof/>
                <w:webHidden/>
              </w:rPr>
            </w:r>
            <w:r w:rsidR="00936371">
              <w:rPr>
                <w:noProof/>
                <w:webHidden/>
              </w:rPr>
              <w:fldChar w:fldCharType="separate"/>
            </w:r>
            <w:r w:rsidR="00936371">
              <w:rPr>
                <w:noProof/>
                <w:webHidden/>
              </w:rPr>
              <w:t>28</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42" w:history="1">
            <w:r w:rsidR="00936371" w:rsidRPr="0029693F">
              <w:rPr>
                <w:rStyle w:val="Lienhypertexte"/>
                <w:rFonts w:eastAsiaTheme="majorEastAsia"/>
                <w:noProof/>
              </w:rPr>
              <w:t>8.5 – AUTO-LIQUIDATION DE LA TGC</w:t>
            </w:r>
            <w:r w:rsidR="00936371">
              <w:rPr>
                <w:noProof/>
                <w:webHidden/>
              </w:rPr>
              <w:tab/>
            </w:r>
            <w:r w:rsidR="00936371">
              <w:rPr>
                <w:noProof/>
                <w:webHidden/>
              </w:rPr>
              <w:fldChar w:fldCharType="begin"/>
            </w:r>
            <w:r w:rsidR="00936371">
              <w:rPr>
                <w:noProof/>
                <w:webHidden/>
              </w:rPr>
              <w:instrText xml:space="preserve"> PAGEREF _Toc64622242 \h </w:instrText>
            </w:r>
            <w:r w:rsidR="00936371">
              <w:rPr>
                <w:noProof/>
                <w:webHidden/>
              </w:rPr>
            </w:r>
            <w:r w:rsidR="00936371">
              <w:rPr>
                <w:noProof/>
                <w:webHidden/>
              </w:rPr>
              <w:fldChar w:fldCharType="separate"/>
            </w:r>
            <w:r w:rsidR="00936371">
              <w:rPr>
                <w:noProof/>
                <w:webHidden/>
              </w:rPr>
              <w:t>28</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43" w:history="1">
            <w:r w:rsidR="00936371" w:rsidRPr="0029693F">
              <w:rPr>
                <w:rStyle w:val="Lienhypertexte"/>
                <w:rFonts w:eastAsiaTheme="majorEastAsia"/>
                <w:noProof/>
              </w:rPr>
              <w:t>ARTICLE 9 – MARCHE SUBSEQUENT : PRESENTATION DES DOCUMENTS DE DEMANDE DE PAIEMENT</w:t>
            </w:r>
            <w:r w:rsidR="00936371">
              <w:rPr>
                <w:noProof/>
                <w:webHidden/>
              </w:rPr>
              <w:tab/>
            </w:r>
            <w:r w:rsidR="00936371">
              <w:rPr>
                <w:noProof/>
                <w:webHidden/>
              </w:rPr>
              <w:fldChar w:fldCharType="begin"/>
            </w:r>
            <w:r w:rsidR="00936371">
              <w:rPr>
                <w:noProof/>
                <w:webHidden/>
              </w:rPr>
              <w:instrText xml:space="preserve"> PAGEREF _Toc64622243 \h </w:instrText>
            </w:r>
            <w:r w:rsidR="00936371">
              <w:rPr>
                <w:noProof/>
                <w:webHidden/>
              </w:rPr>
            </w:r>
            <w:r w:rsidR="00936371">
              <w:rPr>
                <w:noProof/>
                <w:webHidden/>
              </w:rPr>
              <w:fldChar w:fldCharType="separate"/>
            </w:r>
            <w:r w:rsidR="00936371">
              <w:rPr>
                <w:noProof/>
                <w:webHidden/>
              </w:rPr>
              <w:t>30</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44" w:history="1">
            <w:r w:rsidR="00936371" w:rsidRPr="0029693F">
              <w:rPr>
                <w:rStyle w:val="Lienhypertexte"/>
                <w:rFonts w:eastAsiaTheme="majorEastAsia"/>
                <w:noProof/>
              </w:rPr>
              <w:t>9.1 – FORME DES DOCUMENTS DE PAIEMENT</w:t>
            </w:r>
            <w:r w:rsidR="00936371">
              <w:rPr>
                <w:noProof/>
                <w:webHidden/>
              </w:rPr>
              <w:tab/>
            </w:r>
            <w:r w:rsidR="00936371">
              <w:rPr>
                <w:noProof/>
                <w:webHidden/>
              </w:rPr>
              <w:fldChar w:fldCharType="begin"/>
            </w:r>
            <w:r w:rsidR="00936371">
              <w:rPr>
                <w:noProof/>
                <w:webHidden/>
              </w:rPr>
              <w:instrText xml:space="preserve"> PAGEREF _Toc64622244 \h </w:instrText>
            </w:r>
            <w:r w:rsidR="00936371">
              <w:rPr>
                <w:noProof/>
                <w:webHidden/>
              </w:rPr>
            </w:r>
            <w:r w:rsidR="00936371">
              <w:rPr>
                <w:noProof/>
                <w:webHidden/>
              </w:rPr>
              <w:fldChar w:fldCharType="separate"/>
            </w:r>
            <w:r w:rsidR="00936371">
              <w:rPr>
                <w:noProof/>
                <w:webHidden/>
              </w:rPr>
              <w:t>30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45" w:history="1">
            <w:r w:rsidR="00936371" w:rsidRPr="0029693F">
              <w:rPr>
                <w:rStyle w:val="Lienhypertexte"/>
                <w:rFonts w:eastAsiaTheme="majorEastAsia"/>
                <w:noProof/>
              </w:rPr>
              <w:t>9.1.1 – Mentions obligatoires sur les factures</w:t>
            </w:r>
            <w:r w:rsidR="00936371">
              <w:rPr>
                <w:noProof/>
                <w:webHidden/>
              </w:rPr>
              <w:tab/>
            </w:r>
            <w:r w:rsidR="00936371">
              <w:rPr>
                <w:noProof/>
                <w:webHidden/>
              </w:rPr>
              <w:fldChar w:fldCharType="begin"/>
            </w:r>
            <w:r w:rsidR="00936371">
              <w:rPr>
                <w:noProof/>
                <w:webHidden/>
              </w:rPr>
              <w:instrText xml:space="preserve"> PAGEREF _Toc64622245 \h </w:instrText>
            </w:r>
            <w:r w:rsidR="00936371">
              <w:rPr>
                <w:noProof/>
                <w:webHidden/>
              </w:rPr>
            </w:r>
            <w:r w:rsidR="00936371">
              <w:rPr>
                <w:noProof/>
                <w:webHidden/>
              </w:rPr>
              <w:fldChar w:fldCharType="separate"/>
            </w:r>
            <w:r w:rsidR="00936371">
              <w:rPr>
                <w:noProof/>
                <w:webHidden/>
              </w:rPr>
              <w:t>30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46" w:history="1">
            <w:r w:rsidR="00936371" w:rsidRPr="0029693F">
              <w:rPr>
                <w:rStyle w:val="Lienhypertexte"/>
                <w:rFonts w:eastAsiaTheme="majorEastAsia"/>
                <w:noProof/>
              </w:rPr>
              <w:t>9.1.2 – Décomptes et états d’acompte</w:t>
            </w:r>
            <w:r w:rsidR="00936371">
              <w:rPr>
                <w:noProof/>
                <w:webHidden/>
              </w:rPr>
              <w:tab/>
            </w:r>
            <w:r w:rsidR="00936371">
              <w:rPr>
                <w:noProof/>
                <w:webHidden/>
              </w:rPr>
              <w:fldChar w:fldCharType="begin"/>
            </w:r>
            <w:r w:rsidR="00936371">
              <w:rPr>
                <w:noProof/>
                <w:webHidden/>
              </w:rPr>
              <w:instrText xml:space="preserve"> PAGEREF _Toc64622246 \h </w:instrText>
            </w:r>
            <w:r w:rsidR="00936371">
              <w:rPr>
                <w:noProof/>
                <w:webHidden/>
              </w:rPr>
            </w:r>
            <w:r w:rsidR="00936371">
              <w:rPr>
                <w:noProof/>
                <w:webHidden/>
              </w:rPr>
              <w:fldChar w:fldCharType="separate"/>
            </w:r>
            <w:r w:rsidR="00936371">
              <w:rPr>
                <w:noProof/>
                <w:webHidden/>
              </w:rPr>
              <w:t>30</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47" w:history="1">
            <w:r w:rsidR="00936371" w:rsidRPr="0029693F">
              <w:rPr>
                <w:rStyle w:val="Lienhypertexte"/>
                <w:rFonts w:eastAsiaTheme="majorEastAsia"/>
                <w:noProof/>
              </w:rPr>
              <w:t>9.1.3 – Factures</w:t>
            </w:r>
            <w:r w:rsidR="00936371">
              <w:rPr>
                <w:noProof/>
                <w:webHidden/>
              </w:rPr>
              <w:tab/>
            </w:r>
            <w:r w:rsidR="00936371">
              <w:rPr>
                <w:noProof/>
                <w:webHidden/>
              </w:rPr>
              <w:fldChar w:fldCharType="begin"/>
            </w:r>
            <w:r w:rsidR="00936371">
              <w:rPr>
                <w:noProof/>
                <w:webHidden/>
              </w:rPr>
              <w:instrText xml:space="preserve"> PAGEREF _Toc64622247 \h </w:instrText>
            </w:r>
            <w:r w:rsidR="00936371">
              <w:rPr>
                <w:noProof/>
                <w:webHidden/>
              </w:rPr>
            </w:r>
            <w:r w:rsidR="00936371">
              <w:rPr>
                <w:noProof/>
                <w:webHidden/>
              </w:rPr>
              <w:fldChar w:fldCharType="separate"/>
            </w:r>
            <w:r w:rsidR="00936371">
              <w:rPr>
                <w:noProof/>
                <w:webHidden/>
              </w:rPr>
              <w:t>31</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48" w:history="1">
            <w:r w:rsidR="00936371" w:rsidRPr="0029693F">
              <w:rPr>
                <w:rStyle w:val="Lienhypertexte"/>
                <w:rFonts w:eastAsiaTheme="majorEastAsia"/>
                <w:noProof/>
              </w:rPr>
              <w:t>9.2 – ENVOI DES DOCUMENTS DE DEMANDE DE PAIEMENT</w:t>
            </w:r>
            <w:r w:rsidR="00936371">
              <w:rPr>
                <w:noProof/>
                <w:webHidden/>
              </w:rPr>
              <w:tab/>
            </w:r>
            <w:r w:rsidR="00936371">
              <w:rPr>
                <w:noProof/>
                <w:webHidden/>
              </w:rPr>
              <w:fldChar w:fldCharType="begin"/>
            </w:r>
            <w:r w:rsidR="00936371">
              <w:rPr>
                <w:noProof/>
                <w:webHidden/>
              </w:rPr>
              <w:instrText xml:space="preserve"> PAGEREF _Toc64622248 \h </w:instrText>
            </w:r>
            <w:r w:rsidR="00936371">
              <w:rPr>
                <w:noProof/>
                <w:webHidden/>
              </w:rPr>
            </w:r>
            <w:r w:rsidR="00936371">
              <w:rPr>
                <w:noProof/>
                <w:webHidden/>
              </w:rPr>
              <w:fldChar w:fldCharType="separate"/>
            </w:r>
            <w:r w:rsidR="00936371">
              <w:rPr>
                <w:noProof/>
                <w:webHidden/>
              </w:rPr>
              <w:t>31</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49" w:history="1">
            <w:r w:rsidR="00936371" w:rsidRPr="0029693F">
              <w:rPr>
                <w:rStyle w:val="Lienhypertexte"/>
                <w:rFonts w:eastAsiaTheme="majorEastAsia"/>
                <w:noProof/>
              </w:rPr>
              <w:t>9.3 – INTERVENTION D’UN PRESTATAIRE CONDITIONNANT LE PAIEMENT DES SOMMES DUES</w:t>
            </w:r>
            <w:r w:rsidR="00936371">
              <w:rPr>
                <w:noProof/>
                <w:webHidden/>
              </w:rPr>
              <w:tab/>
            </w:r>
            <w:r w:rsidR="00936371">
              <w:rPr>
                <w:noProof/>
                <w:webHidden/>
              </w:rPr>
              <w:fldChar w:fldCharType="begin"/>
            </w:r>
            <w:r w:rsidR="00936371">
              <w:rPr>
                <w:noProof/>
                <w:webHidden/>
              </w:rPr>
              <w:instrText xml:space="preserve"> PAGEREF _Toc64622249 \h </w:instrText>
            </w:r>
            <w:r w:rsidR="00936371">
              <w:rPr>
                <w:noProof/>
                <w:webHidden/>
              </w:rPr>
            </w:r>
            <w:r w:rsidR="00936371">
              <w:rPr>
                <w:noProof/>
                <w:webHidden/>
              </w:rPr>
              <w:fldChar w:fldCharType="separate"/>
            </w:r>
            <w:r w:rsidR="00936371">
              <w:rPr>
                <w:noProof/>
                <w:webHidden/>
              </w:rPr>
              <w:t>31</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50" w:history="1">
            <w:r w:rsidR="00936371" w:rsidRPr="0029693F">
              <w:rPr>
                <w:rStyle w:val="Lienhypertexte"/>
                <w:rFonts w:eastAsiaTheme="majorEastAsia"/>
                <w:noProof/>
              </w:rPr>
              <w:t>9.4 – DELAI DE MANDATEMENT</w:t>
            </w:r>
            <w:r w:rsidR="00936371">
              <w:rPr>
                <w:noProof/>
                <w:webHidden/>
              </w:rPr>
              <w:tab/>
            </w:r>
            <w:r w:rsidR="00936371">
              <w:rPr>
                <w:noProof/>
                <w:webHidden/>
              </w:rPr>
              <w:fldChar w:fldCharType="begin"/>
            </w:r>
            <w:r w:rsidR="00936371">
              <w:rPr>
                <w:noProof/>
                <w:webHidden/>
              </w:rPr>
              <w:instrText xml:space="preserve"> PAGEREF _Toc64622250 \h </w:instrText>
            </w:r>
            <w:r w:rsidR="00936371">
              <w:rPr>
                <w:noProof/>
                <w:webHidden/>
              </w:rPr>
            </w:r>
            <w:r w:rsidR="00936371">
              <w:rPr>
                <w:noProof/>
                <w:webHidden/>
              </w:rPr>
              <w:fldChar w:fldCharType="separate"/>
            </w:r>
            <w:r w:rsidR="00936371">
              <w:rPr>
                <w:noProof/>
                <w:webHidden/>
              </w:rPr>
              <w:t>31</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51" w:history="1">
            <w:r w:rsidR="00936371" w:rsidRPr="0029693F">
              <w:rPr>
                <w:rStyle w:val="Lienhypertexte"/>
                <w:rFonts w:eastAsiaTheme="majorEastAsia"/>
                <w:noProof/>
              </w:rPr>
              <w:t>ARTICLE 10  - MARCHE SUBSEQUENT : DELAI DE GARANTIE, GARANTIES FINANCIERES, SURETÉS, ASSURANCES</w:t>
            </w:r>
            <w:r w:rsidR="00936371">
              <w:rPr>
                <w:noProof/>
                <w:webHidden/>
              </w:rPr>
              <w:tab/>
            </w:r>
            <w:r w:rsidR="00936371">
              <w:rPr>
                <w:noProof/>
                <w:webHidden/>
              </w:rPr>
              <w:fldChar w:fldCharType="begin"/>
            </w:r>
            <w:r w:rsidR="00936371">
              <w:rPr>
                <w:noProof/>
                <w:webHidden/>
              </w:rPr>
              <w:instrText xml:space="preserve"> PAGEREF _Toc64622251 \h </w:instrText>
            </w:r>
            <w:r w:rsidR="00936371">
              <w:rPr>
                <w:noProof/>
                <w:webHidden/>
              </w:rPr>
            </w:r>
            <w:r w:rsidR="00936371">
              <w:rPr>
                <w:noProof/>
                <w:webHidden/>
              </w:rPr>
              <w:fldChar w:fldCharType="separate"/>
            </w:r>
            <w:r w:rsidR="00936371">
              <w:rPr>
                <w:noProof/>
                <w:webHidden/>
              </w:rPr>
              <w:t>32</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52" w:history="1">
            <w:r w:rsidR="00936371" w:rsidRPr="0029693F">
              <w:rPr>
                <w:rStyle w:val="Lienhypertexte"/>
                <w:rFonts w:eastAsiaTheme="majorEastAsia"/>
                <w:noProof/>
              </w:rPr>
              <w:t>10.1 – DELAI DE GARANTIE</w:t>
            </w:r>
            <w:r w:rsidR="00936371">
              <w:rPr>
                <w:noProof/>
                <w:webHidden/>
              </w:rPr>
              <w:tab/>
            </w:r>
            <w:r w:rsidR="00936371">
              <w:rPr>
                <w:noProof/>
                <w:webHidden/>
              </w:rPr>
              <w:fldChar w:fldCharType="begin"/>
            </w:r>
            <w:r w:rsidR="00936371">
              <w:rPr>
                <w:noProof/>
                <w:webHidden/>
              </w:rPr>
              <w:instrText xml:space="preserve"> PAGEREF _Toc64622252 \h </w:instrText>
            </w:r>
            <w:r w:rsidR="00936371">
              <w:rPr>
                <w:noProof/>
                <w:webHidden/>
              </w:rPr>
            </w:r>
            <w:r w:rsidR="00936371">
              <w:rPr>
                <w:noProof/>
                <w:webHidden/>
              </w:rPr>
              <w:fldChar w:fldCharType="separate"/>
            </w:r>
            <w:r w:rsidR="00936371">
              <w:rPr>
                <w:noProof/>
                <w:webHidden/>
              </w:rPr>
              <w:t>32</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53" w:history="1">
            <w:r w:rsidR="00936371" w:rsidRPr="0029693F">
              <w:rPr>
                <w:rStyle w:val="Lienhypertexte"/>
                <w:rFonts w:eastAsiaTheme="majorEastAsia"/>
                <w:noProof/>
              </w:rPr>
              <w:t>10.2 - GARANTIES FINANCIERES (« SÛRETÉS »)</w:t>
            </w:r>
            <w:r w:rsidR="00936371">
              <w:rPr>
                <w:noProof/>
                <w:webHidden/>
              </w:rPr>
              <w:tab/>
            </w:r>
            <w:r w:rsidR="00936371">
              <w:rPr>
                <w:noProof/>
                <w:webHidden/>
              </w:rPr>
              <w:fldChar w:fldCharType="begin"/>
            </w:r>
            <w:r w:rsidR="00936371">
              <w:rPr>
                <w:noProof/>
                <w:webHidden/>
              </w:rPr>
              <w:instrText xml:space="preserve"> PAGEREF _Toc64622253 \h </w:instrText>
            </w:r>
            <w:r w:rsidR="00936371">
              <w:rPr>
                <w:noProof/>
                <w:webHidden/>
              </w:rPr>
            </w:r>
            <w:r w:rsidR="00936371">
              <w:rPr>
                <w:noProof/>
                <w:webHidden/>
              </w:rPr>
              <w:fldChar w:fldCharType="separate"/>
            </w:r>
            <w:r w:rsidR="00936371">
              <w:rPr>
                <w:noProof/>
                <w:webHidden/>
              </w:rPr>
              <w:t>32</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54" w:history="1">
            <w:r w:rsidR="00936371" w:rsidRPr="0029693F">
              <w:rPr>
                <w:rStyle w:val="Lienhypertexte"/>
                <w:rFonts w:eastAsiaTheme="majorEastAsia"/>
                <w:noProof/>
              </w:rPr>
              <w:t>10.2.1 - Garanties financières prévues au titre du marché</w:t>
            </w:r>
            <w:r w:rsidR="00936371">
              <w:rPr>
                <w:noProof/>
                <w:webHidden/>
              </w:rPr>
              <w:tab/>
            </w:r>
            <w:r w:rsidR="00936371">
              <w:rPr>
                <w:noProof/>
                <w:webHidden/>
              </w:rPr>
              <w:fldChar w:fldCharType="begin"/>
            </w:r>
            <w:r w:rsidR="00936371">
              <w:rPr>
                <w:noProof/>
                <w:webHidden/>
              </w:rPr>
              <w:instrText xml:space="preserve"> PAGEREF _Toc64622254 \h </w:instrText>
            </w:r>
            <w:r w:rsidR="00936371">
              <w:rPr>
                <w:noProof/>
                <w:webHidden/>
              </w:rPr>
            </w:r>
            <w:r w:rsidR="00936371">
              <w:rPr>
                <w:noProof/>
                <w:webHidden/>
              </w:rPr>
              <w:fldChar w:fldCharType="separate"/>
            </w:r>
            <w:r w:rsidR="00936371">
              <w:rPr>
                <w:noProof/>
                <w:webHidden/>
              </w:rPr>
              <w:t>32</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55" w:history="1">
            <w:r w:rsidR="00936371" w:rsidRPr="0029693F">
              <w:rPr>
                <w:rStyle w:val="Lienhypertexte"/>
                <w:rFonts w:eastAsiaTheme="majorEastAsia"/>
                <w:noProof/>
              </w:rPr>
              <w:t>10.2.2 – Modalités de mise en place des garanties financières.</w:t>
            </w:r>
            <w:r w:rsidR="00936371">
              <w:rPr>
                <w:noProof/>
                <w:webHidden/>
              </w:rPr>
              <w:tab/>
            </w:r>
            <w:r w:rsidR="00936371">
              <w:rPr>
                <w:noProof/>
                <w:webHidden/>
              </w:rPr>
              <w:fldChar w:fldCharType="begin"/>
            </w:r>
            <w:r w:rsidR="00936371">
              <w:rPr>
                <w:noProof/>
                <w:webHidden/>
              </w:rPr>
              <w:instrText xml:space="preserve"> PAGEREF _Toc64622255 \h </w:instrText>
            </w:r>
            <w:r w:rsidR="00936371">
              <w:rPr>
                <w:noProof/>
                <w:webHidden/>
              </w:rPr>
            </w:r>
            <w:r w:rsidR="00936371">
              <w:rPr>
                <w:noProof/>
                <w:webHidden/>
              </w:rPr>
              <w:fldChar w:fldCharType="separate"/>
            </w:r>
            <w:r w:rsidR="00936371">
              <w:rPr>
                <w:noProof/>
                <w:webHidden/>
              </w:rPr>
              <w:t>32</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56" w:history="1">
            <w:r w:rsidR="00936371" w:rsidRPr="0029693F">
              <w:rPr>
                <w:rStyle w:val="Lienhypertexte"/>
                <w:rFonts w:eastAsiaTheme="majorEastAsia"/>
                <w:noProof/>
              </w:rPr>
              <w:t>10.2.3 – Restitution des garanties financières</w:t>
            </w:r>
            <w:r w:rsidR="00936371">
              <w:rPr>
                <w:noProof/>
                <w:webHidden/>
              </w:rPr>
              <w:tab/>
            </w:r>
            <w:r w:rsidR="00936371">
              <w:rPr>
                <w:noProof/>
                <w:webHidden/>
              </w:rPr>
              <w:fldChar w:fldCharType="begin"/>
            </w:r>
            <w:r w:rsidR="00936371">
              <w:rPr>
                <w:noProof/>
                <w:webHidden/>
              </w:rPr>
              <w:instrText xml:space="preserve"> PAGEREF _Toc64622256 \h </w:instrText>
            </w:r>
            <w:r w:rsidR="00936371">
              <w:rPr>
                <w:noProof/>
                <w:webHidden/>
              </w:rPr>
            </w:r>
            <w:r w:rsidR="00936371">
              <w:rPr>
                <w:noProof/>
                <w:webHidden/>
              </w:rPr>
              <w:fldChar w:fldCharType="separate"/>
            </w:r>
            <w:r w:rsidR="00936371">
              <w:rPr>
                <w:noProof/>
                <w:webHidden/>
              </w:rPr>
              <w:t>33</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57" w:history="1">
            <w:r w:rsidR="00936371" w:rsidRPr="0029693F">
              <w:rPr>
                <w:rStyle w:val="Lienhypertexte"/>
                <w:rFonts w:eastAsiaTheme="majorEastAsia"/>
                <w:noProof/>
              </w:rPr>
              <w:t>10.3  – ASSURANCES</w:t>
            </w:r>
            <w:r w:rsidR="00936371">
              <w:rPr>
                <w:noProof/>
                <w:webHidden/>
              </w:rPr>
              <w:tab/>
            </w:r>
            <w:r w:rsidR="00936371">
              <w:rPr>
                <w:noProof/>
                <w:webHidden/>
              </w:rPr>
              <w:fldChar w:fldCharType="begin"/>
            </w:r>
            <w:r w:rsidR="00936371">
              <w:rPr>
                <w:noProof/>
                <w:webHidden/>
              </w:rPr>
              <w:instrText xml:space="preserve"> PAGEREF _Toc64622257 \h </w:instrText>
            </w:r>
            <w:r w:rsidR="00936371">
              <w:rPr>
                <w:noProof/>
                <w:webHidden/>
              </w:rPr>
            </w:r>
            <w:r w:rsidR="00936371">
              <w:rPr>
                <w:noProof/>
                <w:webHidden/>
              </w:rPr>
              <w:fldChar w:fldCharType="separate"/>
            </w:r>
            <w:r w:rsidR="00936371">
              <w:rPr>
                <w:noProof/>
                <w:webHidden/>
              </w:rPr>
              <w:t>33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58" w:history="1">
            <w:r w:rsidR="00936371" w:rsidRPr="0029693F">
              <w:rPr>
                <w:rStyle w:val="Lienhypertexte"/>
                <w:rFonts w:eastAsiaTheme="majorEastAsia"/>
                <w:noProof/>
              </w:rPr>
              <w:t>10.3.1 – Assurance professionnelle</w:t>
            </w:r>
            <w:r w:rsidR="00936371">
              <w:rPr>
                <w:noProof/>
                <w:webHidden/>
              </w:rPr>
              <w:tab/>
            </w:r>
            <w:r w:rsidR="00936371">
              <w:rPr>
                <w:noProof/>
                <w:webHidden/>
              </w:rPr>
              <w:fldChar w:fldCharType="begin"/>
            </w:r>
            <w:r w:rsidR="00936371">
              <w:rPr>
                <w:noProof/>
                <w:webHidden/>
              </w:rPr>
              <w:instrText xml:space="preserve"> PAGEREF _Toc64622258 \h </w:instrText>
            </w:r>
            <w:r w:rsidR="00936371">
              <w:rPr>
                <w:noProof/>
                <w:webHidden/>
              </w:rPr>
            </w:r>
            <w:r w:rsidR="00936371">
              <w:rPr>
                <w:noProof/>
                <w:webHidden/>
              </w:rPr>
              <w:fldChar w:fldCharType="separate"/>
            </w:r>
            <w:r w:rsidR="00936371">
              <w:rPr>
                <w:noProof/>
                <w:webHidden/>
              </w:rPr>
              <w:t>33</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59" w:history="1">
            <w:r w:rsidR="00936371" w:rsidRPr="0029693F">
              <w:rPr>
                <w:rStyle w:val="Lienhypertexte"/>
                <w:rFonts w:eastAsiaTheme="majorEastAsia"/>
                <w:noProof/>
              </w:rPr>
              <w:t>10.3.2 – Assurance décennale</w:t>
            </w:r>
            <w:r w:rsidR="00936371">
              <w:rPr>
                <w:noProof/>
                <w:webHidden/>
              </w:rPr>
              <w:tab/>
            </w:r>
            <w:r w:rsidR="00936371">
              <w:rPr>
                <w:noProof/>
                <w:webHidden/>
              </w:rPr>
              <w:fldChar w:fldCharType="begin"/>
            </w:r>
            <w:r w:rsidR="00936371">
              <w:rPr>
                <w:noProof/>
                <w:webHidden/>
              </w:rPr>
              <w:instrText xml:space="preserve"> PAGEREF _Toc64622259 \h </w:instrText>
            </w:r>
            <w:r w:rsidR="00936371">
              <w:rPr>
                <w:noProof/>
                <w:webHidden/>
              </w:rPr>
            </w:r>
            <w:r w:rsidR="00936371">
              <w:rPr>
                <w:noProof/>
                <w:webHidden/>
              </w:rPr>
              <w:fldChar w:fldCharType="separate"/>
            </w:r>
            <w:r w:rsidR="00936371">
              <w:rPr>
                <w:noProof/>
                <w:webHidden/>
              </w:rPr>
              <w:t>33</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60" w:history="1">
            <w:r w:rsidR="00936371" w:rsidRPr="0029693F">
              <w:rPr>
                <w:rStyle w:val="Lienhypertexte"/>
                <w:rFonts w:eastAsiaTheme="majorEastAsia"/>
                <w:noProof/>
              </w:rPr>
              <w:t>ARTICLE  11 – MESURES COERCITIVES</w:t>
            </w:r>
            <w:r w:rsidR="00936371">
              <w:rPr>
                <w:noProof/>
                <w:webHidden/>
              </w:rPr>
              <w:tab/>
            </w:r>
            <w:r w:rsidR="00936371">
              <w:rPr>
                <w:noProof/>
                <w:webHidden/>
              </w:rPr>
              <w:fldChar w:fldCharType="begin"/>
            </w:r>
            <w:r w:rsidR="00936371">
              <w:rPr>
                <w:noProof/>
                <w:webHidden/>
              </w:rPr>
              <w:instrText xml:space="preserve"> PAGEREF _Toc64622260 \h </w:instrText>
            </w:r>
            <w:r w:rsidR="00936371">
              <w:rPr>
                <w:noProof/>
                <w:webHidden/>
              </w:rPr>
            </w:r>
            <w:r w:rsidR="00936371">
              <w:rPr>
                <w:noProof/>
                <w:webHidden/>
              </w:rPr>
              <w:fldChar w:fldCharType="separate"/>
            </w:r>
            <w:r w:rsidR="00936371">
              <w:rPr>
                <w:noProof/>
                <w:webHidden/>
              </w:rPr>
              <w:t>34</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61" w:history="1">
            <w:r w:rsidR="00936371" w:rsidRPr="0029693F">
              <w:rPr>
                <w:rStyle w:val="Lienhypertexte"/>
                <w:rFonts w:eastAsiaTheme="majorEastAsia"/>
                <w:noProof/>
              </w:rPr>
              <w:t>11.1 – MISE EN REGIE</w:t>
            </w:r>
            <w:r w:rsidR="00936371">
              <w:rPr>
                <w:noProof/>
                <w:webHidden/>
              </w:rPr>
              <w:tab/>
            </w:r>
            <w:r w:rsidR="00936371">
              <w:rPr>
                <w:noProof/>
                <w:webHidden/>
              </w:rPr>
              <w:fldChar w:fldCharType="begin"/>
            </w:r>
            <w:r w:rsidR="00936371">
              <w:rPr>
                <w:noProof/>
                <w:webHidden/>
              </w:rPr>
              <w:instrText xml:space="preserve"> PAGEREF _Toc64622261 \h </w:instrText>
            </w:r>
            <w:r w:rsidR="00936371">
              <w:rPr>
                <w:noProof/>
                <w:webHidden/>
              </w:rPr>
            </w:r>
            <w:r w:rsidR="00936371">
              <w:rPr>
                <w:noProof/>
                <w:webHidden/>
              </w:rPr>
              <w:fldChar w:fldCharType="separate"/>
            </w:r>
            <w:r w:rsidR="00936371">
              <w:rPr>
                <w:noProof/>
                <w:webHidden/>
              </w:rPr>
              <w:t>34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62" w:history="1">
            <w:r w:rsidR="00936371" w:rsidRPr="0029693F">
              <w:rPr>
                <w:rStyle w:val="Lienhypertexte"/>
                <w:rFonts w:eastAsiaTheme="majorEastAsia"/>
                <w:noProof/>
              </w:rPr>
              <w:t>11.1.1 – Appropriation des moyens du titulaire</w:t>
            </w:r>
            <w:r w:rsidR="00936371">
              <w:rPr>
                <w:noProof/>
                <w:webHidden/>
              </w:rPr>
              <w:tab/>
            </w:r>
            <w:r w:rsidR="00936371">
              <w:rPr>
                <w:noProof/>
                <w:webHidden/>
              </w:rPr>
              <w:fldChar w:fldCharType="begin"/>
            </w:r>
            <w:r w:rsidR="00936371">
              <w:rPr>
                <w:noProof/>
                <w:webHidden/>
              </w:rPr>
              <w:instrText xml:space="preserve"> PAGEREF _Toc64622262 \h </w:instrText>
            </w:r>
            <w:r w:rsidR="00936371">
              <w:rPr>
                <w:noProof/>
                <w:webHidden/>
              </w:rPr>
            </w:r>
            <w:r w:rsidR="00936371">
              <w:rPr>
                <w:noProof/>
                <w:webHidden/>
              </w:rPr>
              <w:fldChar w:fldCharType="separate"/>
            </w:r>
            <w:r w:rsidR="00936371">
              <w:rPr>
                <w:noProof/>
                <w:webHidden/>
              </w:rPr>
              <w:t>34</w:t>
            </w:r>
            <w:r w:rsidR="00936371">
              <w:rPr>
                <w:noProof/>
                <w:webHidden/>
              </w:rPr>
              <w:fldChar w:fldCharType="end"/>
            </w:r>
          </w:hyperlink>
        </w:p>
        <w:p w:rsidR="00936371" w:rsidRDefault="00F2448C">
          <w:pPr>
            <w:pStyle w:val="TM3"/>
            <w:tabs>
              <w:tab w:val="right" w:leader="dot" w:pos="9062"/>
            </w:tabs>
            <w:rPr>
              <w:rFonts w:eastAsiaTheme="minorEastAsia" w:cstheme="minorBidi"/>
              <w:i w:val="0"/>
              <w:iCs w:val="0"/>
              <w:noProof/>
              <w:sz w:val="22"/>
              <w:szCs w:val="22"/>
              <w:lang w:eastAsia="fr-FR"/>
            </w:rPr>
          </w:pPr>
          <w:hyperlink w:anchor="_Toc64622263" w:history="1">
            <w:r w:rsidR="00936371" w:rsidRPr="0029693F">
              <w:rPr>
                <w:rStyle w:val="Lienhypertexte"/>
                <w:rFonts w:eastAsiaTheme="majorEastAsia"/>
                <w:noProof/>
              </w:rPr>
              <w:t>11.1.2 – Intervention d’un prestataire tiers</w:t>
            </w:r>
            <w:r w:rsidR="00936371">
              <w:rPr>
                <w:noProof/>
                <w:webHidden/>
              </w:rPr>
              <w:tab/>
            </w:r>
            <w:r w:rsidR="00936371">
              <w:rPr>
                <w:noProof/>
                <w:webHidden/>
              </w:rPr>
              <w:fldChar w:fldCharType="begin"/>
            </w:r>
            <w:r w:rsidR="00936371">
              <w:rPr>
                <w:noProof/>
                <w:webHidden/>
              </w:rPr>
              <w:instrText xml:space="preserve"> PAGEREF _Toc64622263 \h </w:instrText>
            </w:r>
            <w:r w:rsidR="00936371">
              <w:rPr>
                <w:noProof/>
                <w:webHidden/>
              </w:rPr>
            </w:r>
            <w:r w:rsidR="00936371">
              <w:rPr>
                <w:noProof/>
                <w:webHidden/>
              </w:rPr>
              <w:fldChar w:fldCharType="separate"/>
            </w:r>
            <w:r w:rsidR="00936371">
              <w:rPr>
                <w:noProof/>
                <w:webHidden/>
              </w:rPr>
              <w:t>34</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64" w:history="1">
            <w:r w:rsidR="00936371" w:rsidRPr="0029693F">
              <w:rPr>
                <w:rStyle w:val="Lienhypertexte"/>
                <w:rFonts w:eastAsiaTheme="majorEastAsia"/>
                <w:noProof/>
              </w:rPr>
              <w:t>11.2 - RESILIATION</w:t>
            </w:r>
            <w:r w:rsidR="00936371">
              <w:rPr>
                <w:noProof/>
                <w:webHidden/>
              </w:rPr>
              <w:tab/>
            </w:r>
            <w:r w:rsidR="00936371">
              <w:rPr>
                <w:noProof/>
                <w:webHidden/>
              </w:rPr>
              <w:fldChar w:fldCharType="begin"/>
            </w:r>
            <w:r w:rsidR="00936371">
              <w:rPr>
                <w:noProof/>
                <w:webHidden/>
              </w:rPr>
              <w:instrText xml:space="preserve"> PAGEREF _Toc64622264 \h </w:instrText>
            </w:r>
            <w:r w:rsidR="00936371">
              <w:rPr>
                <w:noProof/>
                <w:webHidden/>
              </w:rPr>
            </w:r>
            <w:r w:rsidR="00936371">
              <w:rPr>
                <w:noProof/>
                <w:webHidden/>
              </w:rPr>
              <w:fldChar w:fldCharType="separate"/>
            </w:r>
            <w:r w:rsidR="00936371">
              <w:rPr>
                <w:noProof/>
                <w:webHidden/>
              </w:rPr>
              <w:t>34</w:t>
            </w:r>
            <w:r w:rsidR="00936371">
              <w:rPr>
                <w:noProof/>
                <w:webHidden/>
              </w:rPr>
              <w:fldChar w:fldCharType="end"/>
            </w:r>
          </w:hyperlink>
        </w:p>
        <w:p w:rsidR="00936371" w:rsidRDefault="00F2448C">
          <w:pPr>
            <w:pStyle w:val="TM2"/>
            <w:tabs>
              <w:tab w:val="right" w:leader="dot" w:pos="9062"/>
            </w:tabs>
            <w:rPr>
              <w:rFonts w:eastAsiaTheme="minorEastAsia" w:cstheme="minorBidi"/>
              <w:smallCaps w:val="0"/>
              <w:noProof/>
              <w:sz w:val="22"/>
              <w:szCs w:val="22"/>
              <w:lang w:eastAsia="fr-FR"/>
            </w:rPr>
          </w:pPr>
          <w:hyperlink w:anchor="_Toc64622265" w:history="1">
            <w:r w:rsidR="00936371" w:rsidRPr="0029693F">
              <w:rPr>
                <w:rStyle w:val="Lienhypertexte"/>
                <w:rFonts w:ascii="MS Gothic" w:eastAsia="MS Gothic" w:hAnsi="MS Gothic"/>
                <w:noProof/>
              </w:rPr>
              <w:t>☐</w:t>
            </w:r>
            <w:r w:rsidR="00936371" w:rsidRPr="0029693F">
              <w:rPr>
                <w:rStyle w:val="Lienhypertexte"/>
                <w:rFonts w:eastAsiaTheme="majorEastAsia"/>
                <w:noProof/>
              </w:rPr>
              <w:t xml:space="preserve"> 11.3 – INTERVENTION D’UN TIERS PENDANT LE DELAI DE GARANTIE</w:t>
            </w:r>
            <w:r w:rsidR="00936371">
              <w:rPr>
                <w:noProof/>
                <w:webHidden/>
              </w:rPr>
              <w:tab/>
            </w:r>
            <w:r w:rsidR="00936371">
              <w:rPr>
                <w:noProof/>
                <w:webHidden/>
              </w:rPr>
              <w:fldChar w:fldCharType="begin"/>
            </w:r>
            <w:r w:rsidR="00936371">
              <w:rPr>
                <w:noProof/>
                <w:webHidden/>
              </w:rPr>
              <w:instrText xml:space="preserve"> PAGEREF _Toc64622265 \h </w:instrText>
            </w:r>
            <w:r w:rsidR="00936371">
              <w:rPr>
                <w:noProof/>
                <w:webHidden/>
              </w:rPr>
            </w:r>
            <w:r w:rsidR="00936371">
              <w:rPr>
                <w:noProof/>
                <w:webHidden/>
              </w:rPr>
              <w:fldChar w:fldCharType="separate"/>
            </w:r>
            <w:r w:rsidR="00936371">
              <w:rPr>
                <w:noProof/>
                <w:webHidden/>
              </w:rPr>
              <w:t>35</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66" w:history="1">
            <w:r w:rsidR="00936371" w:rsidRPr="0029693F">
              <w:rPr>
                <w:rStyle w:val="Lienhypertexte"/>
                <w:rFonts w:eastAsiaTheme="majorEastAsia"/>
                <w:noProof/>
              </w:rPr>
              <w:t>ARTICLE 12  -  PROPRIETE INTELLECTUELLE</w:t>
            </w:r>
            <w:r w:rsidR="00936371">
              <w:rPr>
                <w:noProof/>
                <w:webHidden/>
              </w:rPr>
              <w:tab/>
            </w:r>
            <w:r w:rsidR="00936371">
              <w:rPr>
                <w:noProof/>
                <w:webHidden/>
              </w:rPr>
              <w:fldChar w:fldCharType="begin"/>
            </w:r>
            <w:r w:rsidR="00936371">
              <w:rPr>
                <w:noProof/>
                <w:webHidden/>
              </w:rPr>
              <w:instrText xml:space="preserve"> PAGEREF _Toc64622266 \h </w:instrText>
            </w:r>
            <w:r w:rsidR="00936371">
              <w:rPr>
                <w:noProof/>
                <w:webHidden/>
              </w:rPr>
            </w:r>
            <w:r w:rsidR="00936371">
              <w:rPr>
                <w:noProof/>
                <w:webHidden/>
              </w:rPr>
              <w:fldChar w:fldCharType="separate"/>
            </w:r>
            <w:r w:rsidR="00936371">
              <w:rPr>
                <w:noProof/>
                <w:webHidden/>
              </w:rPr>
              <w:t>36</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67" w:history="1">
            <w:r w:rsidR="00936371" w:rsidRPr="0029693F">
              <w:rPr>
                <w:rStyle w:val="Lienhypertexte"/>
                <w:rFonts w:eastAsiaTheme="majorEastAsia"/>
                <w:noProof/>
              </w:rPr>
              <w:t>ARTICLE 13 – PROTECTION  DES DONNEES PERSONNELLES</w:t>
            </w:r>
            <w:r w:rsidR="00936371">
              <w:rPr>
                <w:noProof/>
                <w:webHidden/>
              </w:rPr>
              <w:tab/>
            </w:r>
            <w:r w:rsidR="00936371">
              <w:rPr>
                <w:noProof/>
                <w:webHidden/>
              </w:rPr>
              <w:fldChar w:fldCharType="begin"/>
            </w:r>
            <w:r w:rsidR="00936371">
              <w:rPr>
                <w:noProof/>
                <w:webHidden/>
              </w:rPr>
              <w:instrText xml:space="preserve"> PAGEREF _Toc64622267 \h </w:instrText>
            </w:r>
            <w:r w:rsidR="00936371">
              <w:rPr>
                <w:noProof/>
                <w:webHidden/>
              </w:rPr>
            </w:r>
            <w:r w:rsidR="00936371">
              <w:rPr>
                <w:noProof/>
                <w:webHidden/>
              </w:rPr>
              <w:fldChar w:fldCharType="separate"/>
            </w:r>
            <w:r w:rsidR="00936371">
              <w:rPr>
                <w:noProof/>
                <w:webHidden/>
              </w:rPr>
              <w:t>36</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68" w:history="1">
            <w:r w:rsidR="00936371" w:rsidRPr="0029693F">
              <w:rPr>
                <w:rStyle w:val="Lienhypertexte"/>
                <w:rFonts w:eastAsiaTheme="majorEastAsia"/>
                <w:noProof/>
              </w:rPr>
              <w:t>ARTICLE 14 – DEROGATIONS AU CCAG</w:t>
            </w:r>
            <w:r w:rsidR="00936371">
              <w:rPr>
                <w:noProof/>
                <w:webHidden/>
              </w:rPr>
              <w:tab/>
            </w:r>
            <w:r w:rsidR="00936371">
              <w:rPr>
                <w:noProof/>
                <w:webHidden/>
              </w:rPr>
              <w:fldChar w:fldCharType="begin"/>
            </w:r>
            <w:r w:rsidR="00936371">
              <w:rPr>
                <w:noProof/>
                <w:webHidden/>
              </w:rPr>
              <w:instrText xml:space="preserve"> PAGEREF _Toc64622268 \h </w:instrText>
            </w:r>
            <w:r w:rsidR="00936371">
              <w:rPr>
                <w:noProof/>
                <w:webHidden/>
              </w:rPr>
            </w:r>
            <w:r w:rsidR="00936371">
              <w:rPr>
                <w:noProof/>
                <w:webHidden/>
              </w:rPr>
              <w:fldChar w:fldCharType="separate"/>
            </w:r>
            <w:r w:rsidR="00936371">
              <w:rPr>
                <w:noProof/>
                <w:webHidden/>
              </w:rPr>
              <w:t>37</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69" w:history="1">
            <w:r w:rsidR="00936371" w:rsidRPr="0029693F">
              <w:rPr>
                <w:rStyle w:val="Lienhypertexte"/>
                <w:rFonts w:eastAsiaTheme="majorEastAsia"/>
                <w:noProof/>
              </w:rPr>
              <w:t>ANNEXE 1 AU CCAP : MODELE DE MARCHE SUBSEQUENT</w:t>
            </w:r>
            <w:r w:rsidR="00936371">
              <w:rPr>
                <w:noProof/>
                <w:webHidden/>
              </w:rPr>
              <w:tab/>
            </w:r>
            <w:r w:rsidR="00936371">
              <w:rPr>
                <w:noProof/>
                <w:webHidden/>
              </w:rPr>
              <w:fldChar w:fldCharType="begin"/>
            </w:r>
            <w:r w:rsidR="00936371">
              <w:rPr>
                <w:noProof/>
                <w:webHidden/>
              </w:rPr>
              <w:instrText xml:space="preserve"> PAGEREF _Toc64622269 \h </w:instrText>
            </w:r>
            <w:r w:rsidR="00936371">
              <w:rPr>
                <w:noProof/>
                <w:webHidden/>
              </w:rPr>
            </w:r>
            <w:r w:rsidR="00936371">
              <w:rPr>
                <w:noProof/>
                <w:webHidden/>
              </w:rPr>
              <w:fldChar w:fldCharType="separate"/>
            </w:r>
            <w:r w:rsidR="00936371">
              <w:rPr>
                <w:noProof/>
                <w:webHidden/>
              </w:rPr>
              <w:t>1</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70" w:history="1">
            <w:r w:rsidR="00936371" w:rsidRPr="0029693F">
              <w:rPr>
                <w:rStyle w:val="Lienhypertexte"/>
                <w:rFonts w:eastAsiaTheme="majorEastAsia"/>
                <w:noProof/>
              </w:rPr>
              <w:t>ANNEXE 2 AU CCAP : MODELE D’ACTE SPECIAL DE SOUS-TRAITANCE</w:t>
            </w:r>
            <w:r w:rsidR="00936371">
              <w:rPr>
                <w:noProof/>
                <w:webHidden/>
              </w:rPr>
              <w:tab/>
            </w:r>
            <w:r w:rsidR="00936371">
              <w:rPr>
                <w:noProof/>
                <w:webHidden/>
              </w:rPr>
              <w:fldChar w:fldCharType="begin"/>
            </w:r>
            <w:r w:rsidR="00936371">
              <w:rPr>
                <w:noProof/>
                <w:webHidden/>
              </w:rPr>
              <w:instrText xml:space="preserve"> PAGEREF _Toc64622270 \h </w:instrText>
            </w:r>
            <w:r w:rsidR="00936371">
              <w:rPr>
                <w:noProof/>
                <w:webHidden/>
              </w:rPr>
            </w:r>
            <w:r w:rsidR="00936371">
              <w:rPr>
                <w:noProof/>
                <w:webHidden/>
              </w:rPr>
              <w:fldChar w:fldCharType="separate"/>
            </w:r>
            <w:r w:rsidR="00936371">
              <w:rPr>
                <w:noProof/>
                <w:webHidden/>
              </w:rPr>
              <w:t>1</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71" w:history="1">
            <w:r w:rsidR="00936371" w:rsidRPr="0029693F">
              <w:rPr>
                <w:rStyle w:val="Lienhypertexte"/>
                <w:rFonts w:eastAsiaTheme="majorEastAsia"/>
                <w:noProof/>
              </w:rPr>
              <w:t>ANNEXE 3 AU CCAP : MODELE D’ACTE SPECIAL DE SO</w:t>
            </w:r>
            <w:r w:rsidR="00936371" w:rsidRPr="0029693F">
              <w:rPr>
                <w:rStyle w:val="Lienhypertexte"/>
                <w:rFonts w:eastAsiaTheme="majorEastAsia"/>
                <w:noProof/>
              </w:rPr>
              <w:t>U</w:t>
            </w:r>
            <w:r w:rsidR="00936371" w:rsidRPr="0029693F">
              <w:rPr>
                <w:rStyle w:val="Lienhypertexte"/>
                <w:rFonts w:eastAsiaTheme="majorEastAsia"/>
                <w:noProof/>
              </w:rPr>
              <w:t>S-TRAITANCE DE SECOND RANG</w:t>
            </w:r>
            <w:r w:rsidR="00936371">
              <w:rPr>
                <w:noProof/>
                <w:webHidden/>
              </w:rPr>
              <w:tab/>
            </w:r>
            <w:r w:rsidR="00936371">
              <w:rPr>
                <w:noProof/>
                <w:webHidden/>
              </w:rPr>
              <w:fldChar w:fldCharType="begin"/>
            </w:r>
            <w:r w:rsidR="00936371">
              <w:rPr>
                <w:noProof/>
                <w:webHidden/>
              </w:rPr>
              <w:instrText xml:space="preserve"> PAGEREF _Toc64622271 \h </w:instrText>
            </w:r>
            <w:r w:rsidR="00936371">
              <w:rPr>
                <w:noProof/>
                <w:webHidden/>
              </w:rPr>
            </w:r>
            <w:r w:rsidR="00936371">
              <w:rPr>
                <w:noProof/>
                <w:webHidden/>
              </w:rPr>
              <w:fldChar w:fldCharType="separate"/>
            </w:r>
            <w:r w:rsidR="00936371">
              <w:rPr>
                <w:noProof/>
                <w:webHidden/>
              </w:rPr>
              <w:t>1</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72" w:history="1">
            <w:r w:rsidR="00936371" w:rsidRPr="0029693F">
              <w:rPr>
                <w:rStyle w:val="Lienhypertexte"/>
                <w:rFonts w:eastAsiaTheme="majorEastAsia"/>
                <w:noProof/>
              </w:rPr>
              <w:t>ANNEXE 4 AU CCAP : EXEMPLE DE MODELE COMPLET DE DECOMPTE ET D’ETAT D’ACOMPTE</w:t>
            </w:r>
            <w:r w:rsidR="00936371">
              <w:rPr>
                <w:noProof/>
                <w:webHidden/>
              </w:rPr>
              <w:tab/>
            </w:r>
            <w:r w:rsidR="00936371">
              <w:rPr>
                <w:noProof/>
                <w:webHidden/>
              </w:rPr>
              <w:fldChar w:fldCharType="begin"/>
            </w:r>
            <w:r w:rsidR="00936371">
              <w:rPr>
                <w:noProof/>
                <w:webHidden/>
              </w:rPr>
              <w:instrText xml:space="preserve"> PAGEREF _Toc64622272 \h </w:instrText>
            </w:r>
            <w:r w:rsidR="00936371">
              <w:rPr>
                <w:noProof/>
                <w:webHidden/>
              </w:rPr>
            </w:r>
            <w:r w:rsidR="00936371">
              <w:rPr>
                <w:noProof/>
                <w:webHidden/>
              </w:rPr>
              <w:fldChar w:fldCharType="separate"/>
            </w:r>
            <w:r w:rsidR="00936371">
              <w:rPr>
                <w:noProof/>
                <w:webHidden/>
              </w:rPr>
              <w:t>1</w:t>
            </w:r>
            <w:r w:rsidR="00936371">
              <w:rPr>
                <w:noProof/>
                <w:webHidden/>
              </w:rPr>
              <w:fldChar w:fldCharType="end"/>
            </w:r>
          </w:hyperlink>
        </w:p>
        <w:p w:rsidR="00936371" w:rsidRDefault="00F2448C">
          <w:pPr>
            <w:pStyle w:val="TM1"/>
            <w:tabs>
              <w:tab w:val="right" w:leader="dot" w:pos="9062"/>
            </w:tabs>
            <w:rPr>
              <w:rFonts w:eastAsiaTheme="minorEastAsia" w:cstheme="minorBidi"/>
              <w:b w:val="0"/>
              <w:bCs w:val="0"/>
              <w:caps w:val="0"/>
              <w:noProof/>
              <w:sz w:val="22"/>
              <w:szCs w:val="22"/>
              <w:lang w:eastAsia="fr-FR"/>
            </w:rPr>
          </w:pPr>
          <w:hyperlink w:anchor="_Toc64622273" w:history="1">
            <w:r w:rsidR="00936371" w:rsidRPr="0029693F">
              <w:rPr>
                <w:rStyle w:val="Lienhypertexte"/>
                <w:rFonts w:eastAsiaTheme="majorEastAsia"/>
                <w:noProof/>
              </w:rPr>
              <w:t>ANNEXE 5 AU CCAP : MODELE DE CAUTION PERSONNELLE ET SOLIDAIRE A PRESENTER EN CONTREPARTIE D’UNE AVANCE</w:t>
            </w:r>
            <w:r w:rsidR="00936371">
              <w:rPr>
                <w:noProof/>
                <w:webHidden/>
              </w:rPr>
              <w:tab/>
            </w:r>
            <w:r w:rsidR="00936371">
              <w:rPr>
                <w:noProof/>
                <w:webHidden/>
              </w:rPr>
              <w:fldChar w:fldCharType="begin"/>
            </w:r>
            <w:r w:rsidR="00936371">
              <w:rPr>
                <w:noProof/>
                <w:webHidden/>
              </w:rPr>
              <w:instrText xml:space="preserve"> PAGEREF _Toc64622273 \h </w:instrText>
            </w:r>
            <w:r w:rsidR="00936371">
              <w:rPr>
                <w:noProof/>
                <w:webHidden/>
              </w:rPr>
            </w:r>
            <w:r w:rsidR="00936371">
              <w:rPr>
                <w:noProof/>
                <w:webHidden/>
              </w:rPr>
              <w:fldChar w:fldCharType="separate"/>
            </w:r>
            <w:r w:rsidR="00936371">
              <w:rPr>
                <w:noProof/>
                <w:webHidden/>
              </w:rPr>
              <w:t>1</w:t>
            </w:r>
            <w:r w:rsidR="00936371">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4622149"/>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4622150"/>
      <w:r>
        <w:t>1.</w:t>
      </w:r>
      <w:r w:rsidR="002B30F7">
        <w:t>1</w:t>
      </w:r>
      <w:r w:rsidR="009C52F4" w:rsidRPr="00387586">
        <w:t xml:space="preserve"> – </w:t>
      </w:r>
      <w:r w:rsidR="00852C8F" w:rsidRPr="00387586">
        <w:t>OBJET DU MARCHE</w:t>
      </w:r>
      <w:bookmarkEnd w:id="1"/>
    </w:p>
    <w:p w:rsidR="003F5FB4" w:rsidRDefault="00BC0DBA" w:rsidP="00E76F6F">
      <w:r w:rsidRPr="0008690E">
        <w:rPr>
          <w:bCs/>
          <w:iCs/>
          <w:kern w:val="28"/>
        </w:rPr>
        <w:t xml:space="preserve">Le présent </w:t>
      </w:r>
      <w:r>
        <w:rPr>
          <w:bCs/>
          <w:iCs/>
          <w:kern w:val="28"/>
        </w:rPr>
        <w:t>marché cadre</w:t>
      </w:r>
      <w:r w:rsidRPr="0008690E">
        <w:rPr>
          <w:bCs/>
          <w:iCs/>
          <w:kern w:val="28"/>
        </w:rPr>
        <w:t xml:space="preserve"> </w:t>
      </w:r>
      <w:r>
        <w:rPr>
          <w:bCs/>
          <w:iCs/>
          <w:kern w:val="28"/>
        </w:rPr>
        <w:t>et les marchés subséquents</w:t>
      </w:r>
      <w:r w:rsidRPr="0008690E">
        <w:rPr>
          <w:bCs/>
          <w:iCs/>
          <w:kern w:val="28"/>
        </w:rPr>
        <w:t xml:space="preserve"> </w:t>
      </w:r>
      <w:r>
        <w:rPr>
          <w:bCs/>
          <w:iCs/>
          <w:kern w:val="28"/>
        </w:rPr>
        <w:t>qui seront conclus sur son fondement ont</w:t>
      </w:r>
      <w:r w:rsidRPr="0008690E">
        <w:rPr>
          <w:bCs/>
          <w:iCs/>
          <w:kern w:val="28"/>
        </w:rPr>
        <w:t xml:space="preserve"> pour objet</w:t>
      </w:r>
      <w:r>
        <w:rPr>
          <w:bCs/>
          <w:iCs/>
          <w:kern w:val="28"/>
        </w:rPr>
        <w:t xml:space="preserve"> </w:t>
      </w:r>
      <w:proofErr w:type="gramStart"/>
      <w:r w:rsidR="003F5FB4" w:rsidRPr="003F5FB4">
        <w:t>:</w:t>
      </w:r>
      <w:r w:rsidR="00962CFC">
        <w:t xml:space="preserve">  …</w:t>
      </w:r>
      <w:proofErr w:type="gramEnd"/>
      <w:r w:rsidR="00962CFC">
        <w:t>………….</w:t>
      </w:r>
      <w:r w:rsidR="00E76F6F">
        <w:t>…………….</w:t>
      </w:r>
    </w:p>
    <w:p w:rsidR="009C52F4" w:rsidRDefault="009C52F4" w:rsidP="005F43A6">
      <w:pPr>
        <w:pStyle w:val="1NIV1"/>
      </w:pPr>
      <w:bookmarkStart w:id="2" w:name="_Toc64622151"/>
      <w:r>
        <w:t>1.</w:t>
      </w:r>
      <w:r w:rsidR="000F28AE">
        <w:t>2</w:t>
      </w:r>
      <w:r>
        <w:t xml:space="preserve"> </w:t>
      </w:r>
      <w:r w:rsidR="000F28AE">
        <w:t>–</w:t>
      </w:r>
      <w:r>
        <w:t xml:space="preserve"> </w:t>
      </w:r>
      <w:r w:rsidR="00852C8F">
        <w:t>LOTS</w:t>
      </w:r>
      <w:bookmarkEnd w:id="2"/>
    </w:p>
    <w:sdt>
      <w:sdtPr>
        <w:id w:val="-526332951"/>
      </w:sdtPr>
      <w:sdtEndPr/>
      <w:sdtContent>
        <w:p w:rsidR="008E1421" w:rsidRPr="00E76F6F" w:rsidRDefault="00F2448C"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sdtContent>
    </w:sdt>
    <w:sdt>
      <w:sdtPr>
        <w:id w:val="218409061"/>
      </w:sdtPr>
      <w:sdtEndPr/>
      <w:sdtContent>
        <w:p w:rsidR="009C52F4" w:rsidRDefault="00F2448C" w:rsidP="00E76F6F">
          <w:pPr>
            <w:pStyle w:val="NormalX"/>
          </w:pPr>
          <w:sdt>
            <w:sdtPr>
              <w:id w:val="1533527560"/>
              <w14:checkbox>
                <w14:checked w14:val="0"/>
                <w14:checkedState w14:val="2612" w14:font="MS Gothic"/>
                <w14:uncheckedState w14:val="2610" w14:font="MS Gothic"/>
              </w14:checkbox>
            </w:sdtPr>
            <w:sdtEnd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BC0DBA">
            <w:t xml:space="preserve"> du marché cadre ou du marché subséquent</w:t>
          </w:r>
          <w:r w:rsidR="00936478">
            <w:t>.</w:t>
          </w:r>
          <w:r>
            <w:t xml:space="preserve"> </w:t>
          </w:r>
        </w:p>
      </w:sdtContent>
    </w:sdt>
    <w:p w:rsidR="009C52F4" w:rsidRDefault="000F28AE" w:rsidP="005F43A6">
      <w:pPr>
        <w:pStyle w:val="1NIV1"/>
      </w:pPr>
      <w:bookmarkStart w:id="3" w:name="_Toc64622152"/>
      <w:r>
        <w:t xml:space="preserve">1.3 – </w:t>
      </w:r>
      <w:r w:rsidR="00852C8F">
        <w:t>TRANCHES</w:t>
      </w:r>
      <w:bookmarkEnd w:id="3"/>
    </w:p>
    <w:p w:rsidR="008E1421" w:rsidRDefault="008E1421" w:rsidP="00DF6ED0">
      <w:r>
        <w:t>Sans objet.</w:t>
      </w:r>
    </w:p>
    <w:p w:rsidR="00640CAC" w:rsidRDefault="00640CAC" w:rsidP="00640CAC">
      <w:pPr>
        <w:pStyle w:val="1NIV1"/>
      </w:pPr>
      <w:bookmarkStart w:id="4" w:name="_Toc56387490"/>
      <w:bookmarkStart w:id="5" w:name="_Toc64622153"/>
      <w:r>
        <w:t>1.4 –</w:t>
      </w:r>
      <w:bookmarkEnd w:id="4"/>
      <w:r>
        <w:t>OPTIONS</w:t>
      </w:r>
      <w:bookmarkEnd w:id="5"/>
      <w:r>
        <w:t xml:space="preserve"> </w:t>
      </w:r>
    </w:p>
    <w:p w:rsidR="00BC0DBA" w:rsidRPr="00E76F6F" w:rsidRDefault="00BC0DBA" w:rsidP="00BC0DBA">
      <w:r w:rsidRPr="00E76F6F">
        <w:t>Sans objet.</w:t>
      </w:r>
    </w:p>
    <w:p w:rsidR="004121AB" w:rsidRDefault="004121AB" w:rsidP="005F43A6">
      <w:pPr>
        <w:pStyle w:val="1NIV1"/>
      </w:pPr>
      <w:bookmarkStart w:id="6" w:name="_Toc64622154"/>
      <w:r>
        <w:t>1.</w:t>
      </w:r>
      <w:r w:rsidR="00640CAC">
        <w:t xml:space="preserve">5 </w:t>
      </w:r>
      <w:r>
        <w:t xml:space="preserve">– </w:t>
      </w:r>
      <w:r w:rsidR="00852C8F">
        <w:t>FORME PARTICULIERE DU MARCHE</w:t>
      </w:r>
      <w:bookmarkEnd w:id="6"/>
    </w:p>
    <w:p w:rsidR="00BC0DBA" w:rsidRDefault="00BC0DBA" w:rsidP="00BC0DBA">
      <w:r>
        <w:t>Le présent marché est un marché cadre donnant lieu à des marchés subséquents, dont le fonctionnement spécifique est régi par l’article 33-4 de la délibération n° 424 du 20 mars 2019 portant réglementation des marchés publics.</w:t>
      </w:r>
    </w:p>
    <w:p w:rsidR="006B1010" w:rsidRDefault="00BC0DBA" w:rsidP="00BC0DBA">
      <w:r>
        <w:t>C’est un marché multi-titulaire, sauf si la procédure de passation a conduit à ne passer qu’un seul marché : il est alors mono-titulaire.</w:t>
      </w:r>
    </w:p>
    <w:p w:rsidR="00BC0DBA" w:rsidRDefault="00BC0DBA" w:rsidP="00BC0DBA">
      <w:pPr>
        <w:pStyle w:val="1NIV1"/>
      </w:pPr>
      <w:bookmarkStart w:id="7" w:name="_Toc64622155"/>
      <w:r>
        <w:t>1.6 – APPELLATION</w:t>
      </w:r>
      <w:bookmarkEnd w:id="7"/>
    </w:p>
    <w:p w:rsidR="00BC0DBA" w:rsidRDefault="00BC0DBA" w:rsidP="00BC0DBA">
      <w:r>
        <w:t>Dans toutes les pièces contractuelles, le terme « marché » s’applique au marché cadre et à ses marchés subséquents.</w:t>
      </w:r>
    </w:p>
    <w:p w:rsidR="00BC0DBA" w:rsidRDefault="00BC0DBA" w:rsidP="00BC0DBA">
      <w:r>
        <w:t>Lorsqu’une nécessité de distinction se présente, les appellations distinctes « marché cadre » et « marché subséquent » peuvent être employées.</w:t>
      </w:r>
    </w:p>
    <w:p w:rsidR="004121AB" w:rsidRDefault="004121AB" w:rsidP="00E76F6F">
      <w:r>
        <w:br w:type="page"/>
      </w:r>
    </w:p>
    <w:p w:rsidR="003F5FB4" w:rsidRDefault="003629D5" w:rsidP="005F43A6">
      <w:pPr>
        <w:pStyle w:val="0ENTETE"/>
      </w:pPr>
      <w:bookmarkStart w:id="8" w:name="_Toc64622156"/>
      <w:r>
        <w:lastRenderedPageBreak/>
        <w:t xml:space="preserve">ARTICLE </w:t>
      </w:r>
      <w:r w:rsidR="003F5FB4">
        <w:t>2 – PARTIES PRENANTES</w:t>
      </w:r>
      <w:bookmarkEnd w:id="8"/>
    </w:p>
    <w:p w:rsidR="003F5FB4" w:rsidRPr="00F346D2" w:rsidRDefault="003F5FB4" w:rsidP="005F43A6">
      <w:pPr>
        <w:pStyle w:val="1NIV1"/>
      </w:pPr>
      <w:bookmarkStart w:id="9" w:name="_Toc64622157"/>
      <w:r w:rsidRPr="00F346D2">
        <w:t xml:space="preserve">2.1 – </w:t>
      </w:r>
      <w:r w:rsidR="00852C8F" w:rsidRPr="00F346D2">
        <w:t>ACHETEUR PUBLIC</w:t>
      </w:r>
      <w:bookmarkEnd w:id="9"/>
    </w:p>
    <w:p w:rsidR="005E1754" w:rsidRPr="00F346D2" w:rsidRDefault="005E1754" w:rsidP="005E1754">
      <w:pPr>
        <w:pStyle w:val="2NIV2"/>
      </w:pPr>
      <w:bookmarkStart w:id="10" w:name="_Toc57702948"/>
      <w:bookmarkStart w:id="11" w:name="_Toc64622158"/>
      <w:r w:rsidRPr="00F346D2">
        <w:t>2.1.1 – Acheteur public</w:t>
      </w:r>
      <w:bookmarkEnd w:id="10"/>
      <w:bookmarkEnd w:id="11"/>
    </w:p>
    <w:p w:rsidR="004831C4" w:rsidRDefault="004831C4" w:rsidP="004831C4">
      <w:bookmarkStart w:id="12" w:name="_Toc57702949"/>
      <w:r>
        <w:t>L’acheteur public cité à l’acte d’engagement est l’organisme qui passe le marché avec le titulaire pour satisfaire ses besoins.</w:t>
      </w:r>
    </w:p>
    <w:sdt>
      <w:sdtPr>
        <w:id w:val="869725419"/>
      </w:sdtPr>
      <w:sdtEndPr/>
      <w:sdtContent>
        <w:p w:rsidR="004831C4" w:rsidRDefault="00F2448C" w:rsidP="004831C4">
          <w:pPr>
            <w:pStyle w:val="NormalX"/>
          </w:pPr>
          <w:sdt>
            <w:sdtPr>
              <w:id w:val="1210154225"/>
              <w14:checkbox>
                <w14:checked w14:val="0"/>
                <w14:checkedState w14:val="2612" w14:font="MS Gothic"/>
                <w14:uncheckedState w14:val="2610" w14:font="MS Gothic"/>
              </w14:checkbox>
            </w:sdtPr>
            <w:sdtEndPr/>
            <w:sdtContent>
              <w:r w:rsidR="004831C4" w:rsidRPr="004831C4">
                <w:rPr>
                  <w:rFonts w:ascii="MS Gothic" w:eastAsia="MS Gothic" w:hAnsi="MS Gothic" w:hint="eastAsia"/>
                </w:rPr>
                <w:t>☐</w:t>
              </w:r>
            </w:sdtContent>
          </w:sdt>
          <w:r w:rsidR="004831C4">
            <w:t xml:space="preserve"> Le marché étant lié à l’exécution de travaux, l’acheteur public est aussi appelé « maître d’ouvrage » au titre du marché.</w:t>
          </w:r>
        </w:p>
      </w:sdtContent>
    </w:sdt>
    <w:p w:rsidR="005E1754" w:rsidRDefault="005E1754" w:rsidP="005E1754">
      <w:pPr>
        <w:pStyle w:val="2NIV2"/>
      </w:pPr>
      <w:bookmarkStart w:id="13" w:name="_Toc64622159"/>
      <w:r>
        <w:t>2.1.2 – Directeur du financement</w:t>
      </w:r>
      <w:bookmarkEnd w:id="12"/>
      <w:bookmarkEnd w:id="13"/>
    </w:p>
    <w:p w:rsidR="004831C4" w:rsidRDefault="004831C4" w:rsidP="004831C4">
      <w:bookmarkStart w:id="14" w:name="_Toc57702950"/>
      <w:r>
        <w:t>Le directeur du financement est le gestionnaire des crédits budgétaires afférents à ce marché.</w:t>
      </w:r>
    </w:p>
    <w:p w:rsidR="004831C4" w:rsidRDefault="004831C4" w:rsidP="004831C4">
      <w:r>
        <w:t>Il est cité à l’acte d’engagement comme la personne chargée de délivrer les renseignements prévus à l’article 101 de la délibération n° 424 du 20 mars 2019 portant réglementation des marchés publics.</w:t>
      </w:r>
    </w:p>
    <w:sdt>
      <w:sdtPr>
        <w:id w:val="-869840463"/>
      </w:sdtPr>
      <w:sdtEndPr/>
      <w:sdtContent>
        <w:p w:rsidR="004831C4" w:rsidRDefault="00F2448C" w:rsidP="004831C4">
          <w:pPr>
            <w:pStyle w:val="NormalX"/>
          </w:pPr>
          <w:sdt>
            <w:sdtPr>
              <w:id w:val="-2025936145"/>
              <w14:checkbox>
                <w14:checked w14:val="0"/>
                <w14:checkedState w14:val="2612" w14:font="MS Gothic"/>
                <w14:uncheckedState w14:val="2610" w14:font="MS Gothic"/>
              </w14:checkbox>
            </w:sdtPr>
            <w:sdtEndPr/>
            <w:sdtContent>
              <w:r w:rsidR="004831C4" w:rsidRPr="004831C4">
                <w:rPr>
                  <w:rFonts w:ascii="MS Gothic" w:eastAsia="MS Gothic" w:hAnsi="MS Gothic" w:hint="eastAsia"/>
                </w:rPr>
                <w:t>☐</w:t>
              </w:r>
            </w:sdtContent>
          </w:sdt>
          <w:r w:rsidR="004831C4">
            <w:t xml:space="preserve"> Le marché étant lié à d</w:t>
          </w:r>
          <w:r w:rsidR="005F3090">
            <w:t>e l</w:t>
          </w:r>
          <w:r w:rsidR="004831C4">
            <w:t>’investissement, le directeur du financement est aussi appelé « directeur d’investissement ».</w:t>
          </w:r>
        </w:p>
      </w:sdtContent>
    </w:sdt>
    <w:p w:rsidR="005E1754" w:rsidRDefault="005E1754" w:rsidP="005E1754">
      <w:pPr>
        <w:pStyle w:val="2NIV2"/>
      </w:pPr>
      <w:bookmarkStart w:id="15" w:name="_Toc64622160"/>
      <w:r>
        <w:t>2.1.3 – Personne responsable du marché, référent du marché</w:t>
      </w:r>
      <w:bookmarkEnd w:id="14"/>
      <w:bookmarkEnd w:id="15"/>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6"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7" w:name="_Toc64622161"/>
      <w:r>
        <w:t>2.1.4 – Référent interne</w:t>
      </w:r>
      <w:bookmarkEnd w:id="16"/>
      <w:bookmarkEnd w:id="17"/>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18" w:name="_Toc64622162"/>
      <w:r>
        <w:t xml:space="preserve">2.2 – </w:t>
      </w:r>
      <w:r w:rsidR="00852C8F">
        <w:t>TITULAIRE</w:t>
      </w:r>
      <w:bookmarkEnd w:id="18"/>
    </w:p>
    <w:p w:rsidR="00696509" w:rsidRDefault="00696509" w:rsidP="00E76F6F">
      <w:pPr>
        <w:pStyle w:val="2NIV2"/>
      </w:pPr>
      <w:bookmarkStart w:id="19" w:name="_Toc64622163"/>
      <w:r>
        <w:t>2.2.1 – Considérations générales</w:t>
      </w:r>
      <w:bookmarkEnd w:id="19"/>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lastRenderedPageBreak/>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0" w:name="_Toc64622164"/>
      <w:r>
        <w:t>2.2.2 – Groupement</w:t>
      </w:r>
      <w:bookmarkEnd w:id="20"/>
    </w:p>
    <w:p w:rsidR="00B20F4E" w:rsidRDefault="005F3090"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1" w:name="_Toc64622165"/>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1"/>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2" w:name="_Toc64622166"/>
      <w:r>
        <w:t xml:space="preserve">Si les prestations du marché </w:t>
      </w:r>
      <w:r w:rsidR="00A16753">
        <w:t xml:space="preserve">ne sont pas divisées en lots, </w:t>
      </w:r>
      <w:r>
        <w:t>il s’agit d’un g</w:t>
      </w:r>
      <w:r w:rsidR="00B62488" w:rsidRPr="00696509">
        <w:t>roupement solidaire</w:t>
      </w:r>
      <w:r>
        <w:t xml:space="preserve"> </w:t>
      </w:r>
      <w:r w:rsidR="00B62488" w:rsidRPr="00696509">
        <w:t>:</w:t>
      </w:r>
      <w:bookmarkEnd w:id="22"/>
    </w:p>
    <w:p w:rsidR="00B62488" w:rsidRDefault="00B62488" w:rsidP="00E76F6F">
      <w:pPr>
        <w:pStyle w:val="Listenormale"/>
      </w:pPr>
      <w:r>
        <w:t xml:space="preserve">chacun des membres du groupement est </w:t>
      </w:r>
      <w:r w:rsidR="00F33C60">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3" w:name="_Toc64622167"/>
      <w:r>
        <w:t>*</w:t>
      </w:r>
      <w:r w:rsidR="00696509">
        <w:t xml:space="preserve"> Solidarité</w:t>
      </w:r>
      <w:bookmarkEnd w:id="23"/>
    </w:p>
    <w:p w:rsidR="00F346D2" w:rsidRDefault="009C52F4" w:rsidP="00E76F6F">
      <w:r>
        <w:lastRenderedPageBreak/>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4" w:name="_Toc64622168"/>
      <w:r>
        <w:t>Désignation du mandataire</w:t>
      </w:r>
      <w:bookmarkEnd w:id="24"/>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5" w:name="_Toc64622169"/>
      <w:r>
        <w:t>Groupement dans un groupement</w:t>
      </w:r>
      <w:bookmarkEnd w:id="25"/>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4831C4" w:rsidRDefault="004831C4" w:rsidP="004831C4">
      <w:pPr>
        <w:pStyle w:val="2NIV2"/>
      </w:pPr>
      <w:bookmarkStart w:id="26" w:name="_Toc58942229"/>
      <w:bookmarkStart w:id="27" w:name="_Toc64622170"/>
      <w:bookmarkStart w:id="28" w:name="_Toc47515530"/>
      <w:r>
        <w:t>2.2.3 – Sous-traitance</w:t>
      </w:r>
      <w:bookmarkEnd w:id="26"/>
      <w:bookmarkEnd w:id="27"/>
    </w:p>
    <w:p w:rsidR="004831C4" w:rsidRDefault="004831C4" w:rsidP="004831C4">
      <w:pPr>
        <w:pStyle w:val="3NIV3"/>
      </w:pPr>
      <w:bookmarkStart w:id="29" w:name="_Toc58942230"/>
      <w:bookmarkStart w:id="30" w:name="_Toc64622171"/>
      <w:r>
        <w:t>2.2.3.1 – Obligations préalables</w:t>
      </w:r>
      <w:bookmarkEnd w:id="29"/>
      <w:bookmarkEnd w:id="30"/>
    </w:p>
    <w:p w:rsidR="004831C4" w:rsidRDefault="004831C4" w:rsidP="004831C4">
      <w:r>
        <w:t>Le titulaire d’un marché public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t>A cette fin, le titulaire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2</w:t>
      </w:r>
      <w:r w:rsidR="004831C4">
        <w:t xml:space="preserve"> au CCAP : modèle de déclaration spéciale.</w:t>
      </w:r>
    </w:p>
    <w:p w:rsidR="004831C4" w:rsidRDefault="004831C4" w:rsidP="004831C4">
      <w:r>
        <w:t>Le titulaire doit présenter sa demande suffisamment à l’avance pour tenir compte du délai maximal d’agrément prévu à l’article 3 de ladite délibération, et des opérations préparatoires nécessaires à l’intervention du sous-traitant.</w:t>
      </w:r>
    </w:p>
    <w:p w:rsidR="004831C4" w:rsidRDefault="004831C4" w:rsidP="004831C4">
      <w:r>
        <w:t>Aucune prolongation de délai ne sera accordée pour compenser un manque d’anticipation.</w:t>
      </w:r>
    </w:p>
    <w:p w:rsidR="004831C4" w:rsidRDefault="004831C4" w:rsidP="004831C4">
      <w:pPr>
        <w:pStyle w:val="3NIV3"/>
      </w:pPr>
      <w:bookmarkStart w:id="31" w:name="_Toc58942231"/>
      <w:bookmarkStart w:id="32" w:name="_Toc64622172"/>
      <w:r>
        <w:t>2.2.3.2 - Responsabilités</w:t>
      </w:r>
      <w:bookmarkEnd w:id="31"/>
      <w:bookmarkEnd w:id="32"/>
    </w:p>
    <w:p w:rsidR="004831C4" w:rsidRDefault="004831C4" w:rsidP="004831C4">
      <w:r>
        <w:t>En tout état de cause, le titulaire reste toujours responsable des prestations de son sous-traitant.</w:t>
      </w:r>
    </w:p>
    <w:p w:rsidR="004831C4" w:rsidRDefault="004831C4" w:rsidP="004831C4">
      <w:r>
        <w:t>Le titulaire peut ensuite se retourner vers son sous-traitant pour l’appeler en responsabilité.</w:t>
      </w:r>
    </w:p>
    <w:p w:rsidR="004831C4" w:rsidRDefault="004831C4" w:rsidP="004831C4">
      <w:pPr>
        <w:pStyle w:val="3NIV3"/>
      </w:pPr>
      <w:bookmarkStart w:id="33" w:name="_Toc58942232"/>
      <w:bookmarkStart w:id="34" w:name="_Toc64622173"/>
      <w:r>
        <w:t>2.2.3.3 – Obligation d’information</w:t>
      </w:r>
      <w:bookmarkEnd w:id="33"/>
      <w:bookmarkEnd w:id="34"/>
    </w:p>
    <w:p w:rsidR="004831C4" w:rsidRDefault="004831C4" w:rsidP="004831C4">
      <w:r>
        <w:t>La personne responsable du marché peut à tout moment demander au titulaire de fournir le contrat de sous-traitance pour vérifier la teneur des conditions de sous-traitance.</w:t>
      </w:r>
    </w:p>
    <w:p w:rsidR="004831C4" w:rsidRDefault="004831C4" w:rsidP="004831C4">
      <w:r>
        <w:t>Le titulaire devra le lui fournir dans le délai imparti qui sera au minimum de 7 jours à compter de la notification de la demande.</w:t>
      </w:r>
    </w:p>
    <w:p w:rsidR="004831C4" w:rsidRDefault="004831C4" w:rsidP="004831C4">
      <w:pPr>
        <w:pStyle w:val="2NIV2"/>
      </w:pPr>
      <w:bookmarkStart w:id="35" w:name="_Toc58942233"/>
      <w:bookmarkStart w:id="36" w:name="_Toc64622174"/>
      <w:r>
        <w:t>2.2.4 – Sous-traitance de second rang</w:t>
      </w:r>
      <w:bookmarkEnd w:id="35"/>
      <w:bookmarkEnd w:id="36"/>
    </w:p>
    <w:p w:rsidR="004831C4" w:rsidRDefault="004831C4" w:rsidP="004831C4">
      <w:pPr>
        <w:pStyle w:val="3NIV3"/>
      </w:pPr>
      <w:bookmarkStart w:id="37" w:name="_Toc58942234"/>
      <w:bookmarkStart w:id="38" w:name="_Toc64622175"/>
      <w:r>
        <w:t>2.2.4.1 – Obligations préalables</w:t>
      </w:r>
      <w:bookmarkEnd w:id="37"/>
      <w:bookmarkEnd w:id="38"/>
    </w:p>
    <w:p w:rsidR="004831C4" w:rsidRDefault="004831C4" w:rsidP="004831C4">
      <w:r>
        <w:t>Le sous-traitant du titulaire d’un marché public (appelé sous-traitant de 1</w:t>
      </w:r>
      <w:r>
        <w:rPr>
          <w:vertAlign w:val="superscript"/>
        </w:rPr>
        <w:t>er</w:t>
      </w:r>
      <w:r>
        <w:t xml:space="preserve"> rang)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lastRenderedPageBreak/>
        <w:t>A cette fin, le sous-traitant de 1</w:t>
      </w:r>
      <w:r>
        <w:rPr>
          <w:vertAlign w:val="superscript"/>
        </w:rPr>
        <w:t>er</w:t>
      </w:r>
      <w:r>
        <w:t xml:space="preserve"> rang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3</w:t>
      </w:r>
      <w:r w:rsidR="004831C4">
        <w:t xml:space="preserve"> au CCAP : modèle de déclaration spéciale pour la sous-traitance de second rang.</w:t>
      </w:r>
    </w:p>
    <w:p w:rsidR="004831C4" w:rsidRDefault="004831C4" w:rsidP="004831C4">
      <w:r>
        <w:t>Le sous-traitant de 1</w:t>
      </w:r>
      <w:r>
        <w:rPr>
          <w:vertAlign w:val="superscript"/>
        </w:rPr>
        <w:t>er</w:t>
      </w:r>
      <w:r>
        <w:t xml:space="preserve"> rang doit présenter sa demande suffisamment à l’avance pour tenir compte du délai maximal d’agrément prévu à l’article 3 de ladite délibération, et des opérations préparatoires nécessaires à l’intervention du sous-traitant de 2è rang.</w:t>
      </w:r>
    </w:p>
    <w:p w:rsidR="004831C4" w:rsidRDefault="004831C4" w:rsidP="004831C4">
      <w:r>
        <w:t>Aucune prolongation de délai ne sera accordée au titre du marché pour compenser un manque d’anticipation.</w:t>
      </w:r>
    </w:p>
    <w:p w:rsidR="004831C4" w:rsidRDefault="004831C4" w:rsidP="004831C4">
      <w:pPr>
        <w:pStyle w:val="3NIV3"/>
      </w:pPr>
      <w:bookmarkStart w:id="39" w:name="_Toc58942235"/>
      <w:bookmarkStart w:id="40" w:name="_Toc64622176"/>
      <w:r>
        <w:t>2.2.4.2 - Responsabilités</w:t>
      </w:r>
      <w:bookmarkEnd w:id="39"/>
      <w:bookmarkEnd w:id="40"/>
    </w:p>
    <w:p w:rsidR="004831C4" w:rsidRDefault="004831C4" w:rsidP="004831C4">
      <w:r>
        <w:t>En tout état de cause, le titulaire reste toujours responsable des prestations des sous-traitants de rang 1 ou de rang 2.</w:t>
      </w:r>
    </w:p>
    <w:p w:rsidR="004831C4" w:rsidRDefault="004831C4" w:rsidP="004831C4">
      <w:r>
        <w:t>Il peut ensuite se retourner vers son sous-traitant de rang 1 pour l’appeler en responsabilité, le sous-traitant de rang 1 appelant à son tour en responsabilité le sous-traitant de rang 2.</w:t>
      </w:r>
    </w:p>
    <w:p w:rsidR="004831C4" w:rsidRDefault="004831C4" w:rsidP="004831C4">
      <w:pPr>
        <w:pStyle w:val="3NIV3"/>
      </w:pPr>
      <w:bookmarkStart w:id="41" w:name="_Toc58942236"/>
      <w:bookmarkStart w:id="42" w:name="_Toc64622177"/>
      <w:r>
        <w:t>2.2.4.3 – Obligation d’information</w:t>
      </w:r>
      <w:bookmarkEnd w:id="41"/>
      <w:bookmarkEnd w:id="42"/>
    </w:p>
    <w:p w:rsidR="005F3090" w:rsidRDefault="004831C4" w:rsidP="005F3090">
      <w:r>
        <w:t>La personne responsable du marché peut à tout moment demander au sous-traitant de rang 1 de fournir le contrat de sous-traitance, ou les justificatifs de caution, pour vérifier la teneur des conditions de sous-traitance de rang 2.</w:t>
      </w:r>
      <w:r w:rsidR="005F3090" w:rsidRPr="005F3090">
        <w:t xml:space="preserve"> </w:t>
      </w:r>
    </w:p>
    <w:p w:rsidR="004831C4" w:rsidRDefault="005F3090" w:rsidP="005F3090">
      <w:r>
        <w:t>Le sous-traitant de rang 1 devra les lui fournir dans le délai imparti qui sera au minimum de 7 jours à compter de la notification de la demande.</w:t>
      </w:r>
    </w:p>
    <w:p w:rsidR="00311F7C" w:rsidRPr="0008690E" w:rsidRDefault="00311F7C" w:rsidP="005F43A6">
      <w:pPr>
        <w:pStyle w:val="1NIV1"/>
      </w:pPr>
      <w:bookmarkStart w:id="43" w:name="_Toc64622178"/>
      <w:r>
        <w:t>2</w:t>
      </w:r>
      <w:r w:rsidRPr="0008690E">
        <w:t>.</w:t>
      </w:r>
      <w:r>
        <w:t>3</w:t>
      </w:r>
      <w:r w:rsidRPr="0008690E">
        <w:t xml:space="preserve"> </w:t>
      </w:r>
      <w:r>
        <w:t xml:space="preserve">- </w:t>
      </w:r>
      <w:r w:rsidRPr="0008690E">
        <w:t>COMMUNICATION</w:t>
      </w:r>
      <w:bookmarkEnd w:id="28"/>
      <w:bookmarkEnd w:id="43"/>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44" w:name="_Toc52958989"/>
      <w:bookmarkStart w:id="45" w:name="_Toc64622179"/>
      <w:r>
        <w:t>2.4 – AUTRES INTERVENANTS DANS L’EXECUTION DU MARCHÉ</w:t>
      </w:r>
      <w:bookmarkEnd w:id="44"/>
      <w:bookmarkEnd w:id="45"/>
    </w:p>
    <w:p w:rsidR="00A16753" w:rsidRDefault="00DF6ED0" w:rsidP="00DF6ED0">
      <w:r>
        <w:t>Sans objet</w:t>
      </w:r>
    </w:p>
    <w:p w:rsidR="00A16753" w:rsidRDefault="00A16753" w:rsidP="00A16753">
      <w:pPr>
        <w:pStyle w:val="1NIV1"/>
      </w:pPr>
      <w:bookmarkStart w:id="46" w:name="_Toc64622180"/>
      <w:r>
        <w:t xml:space="preserve">2.5 – </w:t>
      </w:r>
      <w:r w:rsidR="00BC0DBA">
        <w:t>AUTRES</w:t>
      </w:r>
      <w:r>
        <w:t xml:space="preserve"> TITULAIRES</w:t>
      </w:r>
      <w:bookmarkEnd w:id="46"/>
    </w:p>
    <w:p w:rsidR="00CA0464" w:rsidRDefault="00BC0DBA" w:rsidP="00BC0DBA">
      <w:r>
        <w:t>En cas de marché cadre multi-titulaires, lors de l’émergence du besoin, tous les titulaires sont remis en concurrence conformément à la procédure décrite à l’article 4 du présent CCAP</w:t>
      </w:r>
      <w:r w:rsidR="00A16753">
        <w:t>.</w:t>
      </w:r>
      <w:r w:rsidR="00CA0464">
        <w:br w:type="page"/>
      </w:r>
    </w:p>
    <w:p w:rsidR="00F241C4" w:rsidRPr="008B1AA1" w:rsidRDefault="00F241C4" w:rsidP="005F43A6">
      <w:pPr>
        <w:pStyle w:val="0ENTETE"/>
      </w:pPr>
      <w:bookmarkStart w:id="47" w:name="_Toc64622181"/>
      <w:r w:rsidRPr="008B1AA1">
        <w:lastRenderedPageBreak/>
        <w:t xml:space="preserve">ARTICLE </w:t>
      </w:r>
      <w:r w:rsidR="00B7258E">
        <w:t>3</w:t>
      </w:r>
      <w:r w:rsidRPr="008B1AA1">
        <w:t xml:space="preserve"> – </w:t>
      </w:r>
      <w:r>
        <w:t>PIECES CONSTITUTIVES DU MARCHÉ</w:t>
      </w:r>
      <w:bookmarkEnd w:id="47"/>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48" w:name="_Toc64622182"/>
      <w:r>
        <w:t>3</w:t>
      </w:r>
      <w:r w:rsidR="00281459">
        <w:t>.1 – PIECES PARTICULIERES</w:t>
      </w:r>
      <w:bookmarkEnd w:id="48"/>
    </w:p>
    <w:p w:rsidR="00FF7663" w:rsidRDefault="00FF7663" w:rsidP="00B63DE9">
      <w:pPr>
        <w:pStyle w:val="ListeX"/>
      </w:pPr>
      <w:r w:rsidRPr="00651ADB">
        <w:t xml:space="preserve">l’acte d’engagement </w:t>
      </w:r>
      <w:r w:rsidR="00BC0DBA">
        <w:t xml:space="preserve">du marché cadre </w:t>
      </w:r>
      <w:r w:rsidRPr="00651ADB">
        <w:t>et ses annexes</w:t>
      </w:r>
      <w:r w:rsidR="00DD5255" w:rsidRPr="00651ADB">
        <w:t xml:space="preserve"> éventuelles</w:t>
      </w:r>
      <w:r w:rsidRPr="00651ADB">
        <w:t> ;</w:t>
      </w:r>
    </w:p>
    <w:p w:rsidR="00152B1C" w:rsidRDefault="00152B1C" w:rsidP="00152B1C">
      <w:pPr>
        <w:pStyle w:val="ListeX"/>
      </w:pPr>
      <w:r>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F61EE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1900806076"/>
      </w:sdtPr>
      <w:sdtEndPr/>
      <w:sdtContent>
        <w:p w:rsidR="009F7193" w:rsidRPr="00B63DE9" w:rsidRDefault="00F2448C"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F61EEB">
            <w:t xml:space="preserve"> relative au marché cadre</w:t>
          </w:r>
          <w:r w:rsidR="00C84C44">
            <w:t>,</w:t>
          </w:r>
          <w:r w:rsidR="009F7193" w:rsidRPr="00B63DE9">
            <w:t xml:space="preserve"> qui </w:t>
          </w:r>
          <w:r w:rsidR="00BB4A26" w:rsidRPr="00B63DE9">
            <w:t>précise</w:t>
          </w:r>
          <w:r w:rsidR="00C84C44">
            <w:t>nt</w:t>
          </w:r>
          <w:r w:rsidR="009F7193" w:rsidRPr="00B63DE9">
            <w:t xml:space="preserve"> les modalités d’exécution du marché ;</w:t>
          </w:r>
        </w:p>
      </w:sdtContent>
    </w:sdt>
    <w:sdt>
      <w:sdtPr>
        <w:id w:val="-1426802510"/>
      </w:sdtPr>
      <w:sdtEndPr/>
      <w:sdtContent>
        <w:p w:rsidR="00DD5255" w:rsidRPr="00B63DE9" w:rsidRDefault="00F2448C"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w:t>
          </w:r>
          <w:r w:rsidR="00C438FF">
            <w:t xml:space="preserve"> du marché cadre</w:t>
          </w:r>
          <w:r w:rsidR="00B57325">
            <w:t xml:space="preserve"> </w:t>
          </w:r>
          <w:r w:rsidR="00DD5255" w:rsidRPr="00B63DE9">
            <w:t>;</w:t>
          </w:r>
        </w:p>
      </w:sdtContent>
    </w:sdt>
    <w:sdt>
      <w:sdtPr>
        <w:id w:val="641860270"/>
      </w:sdtPr>
      <w:sdtEndPr/>
      <w:sdtContent>
        <w:p w:rsidR="009F7193" w:rsidRPr="00651ADB" w:rsidRDefault="00F2448C"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sdtContent>
    </w:sdt>
    <w:sdt>
      <w:sdtPr>
        <w:id w:val="1237980962"/>
      </w:sdtPr>
      <w:sdtEndPr/>
      <w:sdtContent>
        <w:p w:rsidR="009F7193" w:rsidRDefault="00F2448C"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F61EEB">
            <w:t>le planning détaillé ;</w:t>
          </w:r>
        </w:p>
      </w:sdtContent>
    </w:sdt>
    <w:p w:rsidR="00F61EEB" w:rsidRPr="00651ADB" w:rsidRDefault="00F61EEB" w:rsidP="00B63DE9">
      <w:pPr>
        <w:pStyle w:val="ListeX"/>
      </w:pPr>
      <w:r>
        <w:rPr>
          <w:bCs/>
          <w:iCs/>
          <w:kern w:val="28"/>
        </w:rPr>
        <w:t xml:space="preserve">pour chaque marché subséquent passé avec le titulaire du présent marché cadre : acte d’engagement + </w:t>
      </w:r>
      <w:r w:rsidR="00BD1887">
        <w:rPr>
          <w:bCs/>
          <w:iCs/>
          <w:kern w:val="28"/>
        </w:rPr>
        <w:t xml:space="preserve">éventuelles </w:t>
      </w:r>
      <w:r>
        <w:rPr>
          <w:bCs/>
          <w:iCs/>
          <w:kern w:val="28"/>
        </w:rPr>
        <w:t>annexes.</w:t>
      </w:r>
    </w:p>
    <w:p w:rsidR="00281459" w:rsidRDefault="00B7258E" w:rsidP="005F43A6">
      <w:pPr>
        <w:pStyle w:val="1NIV1"/>
      </w:pPr>
      <w:bookmarkStart w:id="49" w:name="_Toc64622183"/>
      <w:r>
        <w:t>3</w:t>
      </w:r>
      <w:r w:rsidR="00281459">
        <w:t>.2 – PIECES GENERALES</w:t>
      </w:r>
      <w:bookmarkEnd w:id="49"/>
    </w:p>
    <w:sdt>
      <w:sdtPr>
        <w:id w:val="1502087101"/>
      </w:sdtPr>
      <w:sdtEndPr/>
      <w:sdtContent>
        <w:p w:rsidR="00311F7C" w:rsidRDefault="00F2448C"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1300574707"/>
      </w:sdtPr>
      <w:sdtEndPr/>
      <w:sdtContent>
        <w:p w:rsidR="00281459" w:rsidRDefault="00F2448C"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EE17F3">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B57325" w:rsidRDefault="00B57325" w:rsidP="00B57325">
      <w:pPr>
        <w:pStyle w:val="1NIV1"/>
      </w:pPr>
      <w:bookmarkStart w:id="50" w:name="_Toc64622184"/>
      <w:r>
        <w:t>3.3 – PLAFONNEMENT DES PRIX UNITAIRES</w:t>
      </w:r>
      <w:bookmarkEnd w:id="50"/>
    </w:p>
    <w:sdt>
      <w:sdtPr>
        <w:id w:val="620415751"/>
      </w:sdtPr>
      <w:sdtEndPr/>
      <w:sdtContent>
        <w:p w:rsidR="00B57325" w:rsidRPr="00E76F6F" w:rsidRDefault="00F2448C" w:rsidP="00B57325">
          <w:pPr>
            <w:pStyle w:val="NormalX"/>
          </w:pPr>
          <w:sdt>
            <w:sdtPr>
              <w:id w:val="-1998025001"/>
              <w14:checkbox>
                <w14:checked w14:val="0"/>
                <w14:checkedState w14:val="2612" w14:font="MS Gothic"/>
                <w14:uncheckedState w14:val="2610" w14:font="MS Gothic"/>
              </w14:checkbox>
            </w:sdtPr>
            <w:sdtEndPr/>
            <w:sdtContent>
              <w:r w:rsidR="00B57325" w:rsidRPr="00E76F6F">
                <w:rPr>
                  <w:rFonts w:eastAsia="MS Gothic" w:hint="eastAsia"/>
                </w:rPr>
                <w:t>☐</w:t>
              </w:r>
            </w:sdtContent>
          </w:sdt>
          <w:r w:rsidR="00B57325" w:rsidRPr="00E76F6F">
            <w:t xml:space="preserve"> Sans objet.</w:t>
          </w:r>
        </w:p>
      </w:sdtContent>
    </w:sdt>
    <w:sdt>
      <w:sdtPr>
        <w:id w:val="-1063796418"/>
      </w:sdtPr>
      <w:sdtEndPr/>
      <w:sdtContent>
        <w:p w:rsidR="00B57325" w:rsidRDefault="00F2448C" w:rsidP="00B57325">
          <w:pPr>
            <w:pStyle w:val="NormalX"/>
          </w:pPr>
          <w:sdt>
            <w:sdtPr>
              <w:id w:val="574858943"/>
              <w14:checkbox>
                <w14:checked w14:val="0"/>
                <w14:checkedState w14:val="2612" w14:font="MS Gothic"/>
                <w14:uncheckedState w14:val="2610" w14:font="MS Gothic"/>
              </w14:checkbox>
            </w:sdtPr>
            <w:sdtEndPr/>
            <w:sdtContent>
              <w:r w:rsidR="00B57325">
                <w:rPr>
                  <w:rFonts w:ascii="MS Gothic" w:eastAsia="MS Gothic" w:hAnsi="MS Gothic" w:hint="eastAsia"/>
                </w:rPr>
                <w:t>☐</w:t>
              </w:r>
            </w:sdtContent>
          </w:sdt>
          <w:r w:rsidR="00B57325">
            <w:t xml:space="preserve"> Les prix unitaires détaillés dans le bordereau des prix unitaires (BPU) du marché cadre servent de plafond aux prix unitaires ou aux prix d’unité des prix forfaitaires des marchés subséquents.</w:t>
          </w:r>
        </w:p>
        <w:p w:rsidR="00C6707D" w:rsidRDefault="00B57325" w:rsidP="00C6707D">
          <w:r>
            <w:t xml:space="preserve">Pour être comparés aux prix proposés en vue de passer un marché subséquent, </w:t>
          </w:r>
          <w:r w:rsidR="00C6707D">
            <w:t>il leur est appliqué la clause de variation de prix suivante :</w:t>
          </w:r>
          <w:r w:rsidR="003C591E">
            <w:t xml:space="preserve"> P = Po x I </w:t>
          </w:r>
          <w:r w:rsidR="00C6707D">
            <w:t>/ Io</w:t>
          </w:r>
        </w:p>
        <w:p w:rsidR="00C6707D" w:rsidRDefault="00C6707D" w:rsidP="00C6707D">
          <w:r>
            <w:t>Avec :</w:t>
          </w:r>
        </w:p>
        <w:p w:rsidR="00C6707D" w:rsidRDefault="00C6707D" w:rsidP="00C6707D">
          <w:pPr>
            <w:pStyle w:val="Listenormale"/>
          </w:pPr>
          <w:r>
            <w:t xml:space="preserve">Po : </w:t>
          </w:r>
          <w:r>
            <w:tab/>
            <w:t xml:space="preserve">prix </w:t>
          </w:r>
          <w:r w:rsidR="003C591E">
            <w:t xml:space="preserve">unitaire plafond </w:t>
          </w:r>
          <w:r>
            <w:t>initial</w:t>
          </w:r>
        </w:p>
        <w:p w:rsidR="003C591E" w:rsidRDefault="00C6707D" w:rsidP="00C6707D">
          <w:pPr>
            <w:pStyle w:val="Listenormale"/>
          </w:pPr>
          <w:r>
            <w:t xml:space="preserve">P : </w:t>
          </w:r>
          <w:r>
            <w:tab/>
            <w:t xml:space="preserve">prix </w:t>
          </w:r>
          <w:r w:rsidR="003C591E">
            <w:t>unitaire plafond mis à jour pour la comparaison</w:t>
          </w:r>
        </w:p>
        <w:p w:rsidR="003C591E" w:rsidRDefault="00C6707D" w:rsidP="00C6707D">
          <w:pPr>
            <w:pStyle w:val="Listenormale"/>
          </w:pPr>
          <w:r>
            <w:t xml:space="preserve">Io : </w:t>
          </w:r>
          <w:r>
            <w:tab/>
            <w:t>valeur de l’ind</w:t>
          </w:r>
          <w:r w:rsidR="003C591E">
            <w:t>ice</w:t>
          </w:r>
          <w:r>
            <w:t xml:space="preserve"> de référence au mois </w:t>
          </w:r>
          <w:r w:rsidR="003C591E">
            <w:t>Mo du marché cadre ;</w:t>
          </w:r>
        </w:p>
        <w:p w:rsidR="00C6707D" w:rsidRDefault="00C6707D" w:rsidP="00C6707D">
          <w:pPr>
            <w:pStyle w:val="Listenormale"/>
          </w:pPr>
          <w:r>
            <w:lastRenderedPageBreak/>
            <w:t>I</w:t>
          </w:r>
          <w:r w:rsidR="003C591E">
            <w:t xml:space="preserve"> : valeur de l’indice</w:t>
          </w:r>
          <w:r>
            <w:t xml:space="preserve"> de référence </w:t>
          </w:r>
          <w:r w:rsidR="003C591E">
            <w:rPr>
              <w:color w:val="0070C0"/>
            </w:rPr>
            <w:t>quatre (4)</w:t>
          </w:r>
          <w:r w:rsidRPr="003C591E">
            <w:rPr>
              <w:color w:val="0070C0"/>
            </w:rPr>
            <w:t xml:space="preserve"> </w:t>
          </w:r>
          <w:r>
            <w:t xml:space="preserve">mois avant </w:t>
          </w:r>
          <w:r w:rsidR="003C591E">
            <w:t>le mois Mo du marché subséquent (afin de disposer de l’index définitif)</w:t>
          </w:r>
          <w:r>
            <w:t>.</w:t>
          </w:r>
        </w:p>
        <w:p w:rsidR="003C591E" w:rsidRDefault="003C591E" w:rsidP="003C591E">
          <w:r>
            <w:t>L’indice de référence est celui qui est précisé à l’article 8.2.3 du présent CCAP.</w:t>
          </w:r>
        </w:p>
      </w:sdtContent>
    </w:sdt>
    <w:p w:rsidR="00C6707D" w:rsidRDefault="00C6707D" w:rsidP="00C6707D"/>
    <w:p w:rsidR="00C6707D" w:rsidRDefault="00C6707D" w:rsidP="00B57325">
      <w:pPr>
        <w:pStyle w:val="NormalX"/>
      </w:pPr>
    </w:p>
    <w:p w:rsidR="00F241C4" w:rsidRDefault="00F241C4" w:rsidP="00E76F6F">
      <w:r>
        <w:br w:type="page"/>
      </w:r>
    </w:p>
    <w:p w:rsidR="00F61EEB" w:rsidRDefault="00F61EEB" w:rsidP="00E921AA">
      <w:pPr>
        <w:pStyle w:val="0ENTETE"/>
      </w:pPr>
      <w:bookmarkStart w:id="51" w:name="_Toc64622185"/>
      <w:r>
        <w:lastRenderedPageBreak/>
        <w:t xml:space="preserve">ARTICLE </w:t>
      </w:r>
      <w:r w:rsidR="00447149">
        <w:t>4</w:t>
      </w:r>
      <w:r>
        <w:t xml:space="preserve">  - </w:t>
      </w:r>
      <w:r w:rsidR="006B5D71">
        <w:t>MISE EN OEUVRE</w:t>
      </w:r>
      <w:r>
        <w:t xml:space="preserve"> DES MARCHES SUBSEQUENTS</w:t>
      </w:r>
      <w:bookmarkEnd w:id="51"/>
    </w:p>
    <w:p w:rsidR="00E921AA" w:rsidRDefault="00E921AA" w:rsidP="00E921AA">
      <w:r>
        <w:t>En cas de marché alloti, les dispositions suivantes s’appliquent pour chaque lot que l’acheteur public décide de mettre en œuvre.</w:t>
      </w:r>
    </w:p>
    <w:p w:rsidR="00F61EEB" w:rsidRDefault="00447149" w:rsidP="00E921AA">
      <w:pPr>
        <w:pStyle w:val="1NIV1"/>
      </w:pPr>
      <w:bookmarkStart w:id="52" w:name="_Toc64622186"/>
      <w:r>
        <w:t>4</w:t>
      </w:r>
      <w:r w:rsidR="00E921AA">
        <w:t>.1 – PROCEDURE</w:t>
      </w:r>
      <w:r w:rsidR="006B5D71">
        <w:t xml:space="preserve"> DE CONSULTATION</w:t>
      </w:r>
      <w:r w:rsidR="00E921AA">
        <w:t xml:space="preserve"> EN CAS DE MARCHE CADRE MONO-TITULAIRE</w:t>
      </w:r>
      <w:bookmarkEnd w:id="52"/>
    </w:p>
    <w:p w:rsidR="00F61EEB" w:rsidRDefault="00F61EEB" w:rsidP="00F61EEB">
      <w:r>
        <w:t xml:space="preserve">Pendant la durée de validité du marché cadre, à la survenance du besoin, </w:t>
      </w:r>
      <w:r w:rsidR="009E7146">
        <w:t>la personne responsable du marché</w:t>
      </w:r>
      <w:r>
        <w:t xml:space="preserve"> consulte le titulaire par écrit en précisant</w:t>
      </w:r>
      <w:r w:rsidR="00E921AA">
        <w:t xml:space="preserve"> </w:t>
      </w:r>
      <w:r>
        <w:t>:</w:t>
      </w:r>
    </w:p>
    <w:p w:rsidR="00F61EEB" w:rsidRDefault="00F61EEB" w:rsidP="00E921AA">
      <w:pPr>
        <w:pStyle w:val="Listenormale"/>
      </w:pPr>
      <w:r>
        <w:t xml:space="preserve">ses besoins en </w:t>
      </w:r>
      <w:r w:rsidR="005C4991">
        <w:t>quantité</w:t>
      </w:r>
      <w:r w:rsidR="00E921AA">
        <w:t xml:space="preserve"> et nature</w:t>
      </w:r>
      <w:r>
        <w:t>,</w:t>
      </w:r>
    </w:p>
    <w:p w:rsidR="00F61EEB" w:rsidRDefault="00E921AA" w:rsidP="00E921AA">
      <w:pPr>
        <w:pStyle w:val="Listenormale"/>
      </w:pPr>
      <w:r>
        <w:t>les modalités de réponse et de présentation de l’offre,</w:t>
      </w:r>
    </w:p>
    <w:sdt>
      <w:sdtPr>
        <w:id w:val="393853393"/>
      </w:sdtPr>
      <w:sdtEndPr/>
      <w:sdtContent>
        <w:p w:rsidR="00F61EEB" w:rsidRPr="00BD1887" w:rsidRDefault="00F2448C" w:rsidP="00E921AA">
          <w:pPr>
            <w:pStyle w:val="Listenormale"/>
          </w:pPr>
          <w:sdt>
            <w:sdtPr>
              <w:id w:val="-16801933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w:t>
          </w:r>
          <w:r w:rsidR="00F61EEB" w:rsidRPr="00BD1887">
            <w:t xml:space="preserve">le délai </w:t>
          </w:r>
          <w:r w:rsidR="00BD1887" w:rsidRPr="00BD1887">
            <w:t>d’exécution</w:t>
          </w:r>
          <w:r w:rsidR="00F61EEB" w:rsidRPr="00BD1887">
            <w:t xml:space="preserve"> plafond,</w:t>
          </w:r>
        </w:p>
      </w:sdtContent>
    </w:sdt>
    <w:p w:rsidR="00F04FC2" w:rsidRDefault="00F04FC2" w:rsidP="00F04FC2">
      <w:pPr>
        <w:pStyle w:val="Listenormale"/>
      </w:pPr>
      <w:r>
        <w:t>les éventuels critères de jugement des offres et leur pondération,</w:t>
      </w:r>
    </w:p>
    <w:p w:rsidR="00F61EEB" w:rsidRDefault="00F61EEB" w:rsidP="00E921AA">
      <w:pPr>
        <w:pStyle w:val="Listenormale"/>
      </w:pPr>
      <w:r>
        <w:t>la date et l’heure limites ainsi que le lieu de remise des offres.</w:t>
      </w:r>
    </w:p>
    <w:p w:rsidR="00F61EEB" w:rsidRDefault="00F61EEB" w:rsidP="00F61EEB">
      <w:r>
        <w:t>Cette consultation a lieu au moins 7 jours avant la date limite de remise de l’offre. Le délai de consultation tient compte du temps nécessaire à la bonne constitution d’une offre compte tenu des besoins ciblés, et peut être modifié en cours de consultation.</w:t>
      </w:r>
    </w:p>
    <w:p w:rsidR="00F61EEB" w:rsidRDefault="00F61EEB" w:rsidP="00F61EEB">
      <w:r>
        <w:t xml:space="preserve">L’offre du titulaire est remise dans le délai et selon les modalités prescrites, sous la forme de l’acte d’engagement de marché subséquent dont le modèle est joint en annexe </w:t>
      </w:r>
      <w:r w:rsidR="003C457F">
        <w:t>1</w:t>
      </w:r>
      <w:r>
        <w:t xml:space="preserve"> au présent CCAP, complété, signé.</w:t>
      </w:r>
    </w:p>
    <w:p w:rsidR="00F61EEB" w:rsidRDefault="00F61EEB" w:rsidP="00F61EEB">
      <w:r>
        <w:t xml:space="preserve">Cette offre est accompagnée de tous les justificatifs </w:t>
      </w:r>
      <w:r w:rsidR="00E921AA">
        <w:t>administratifs et techniques</w:t>
      </w:r>
      <w:r w:rsidR="00BD1887">
        <w:t>, et autres annexes</w:t>
      </w:r>
      <w:r w:rsidR="00E921AA">
        <w:t xml:space="preserve"> demandés</w:t>
      </w:r>
      <w:r>
        <w:t>.</w:t>
      </w:r>
    </w:p>
    <w:sdt>
      <w:sdtPr>
        <w:id w:val="1851685042"/>
      </w:sdtPr>
      <w:sdtEndPr/>
      <w:sdtContent>
        <w:p w:rsidR="00D95312" w:rsidRDefault="00F2448C" w:rsidP="00D95312">
          <w:sdt>
            <w:sdtPr>
              <w:id w:val="2080556529"/>
              <w14:checkbox>
                <w14:checked w14:val="0"/>
                <w14:checkedState w14:val="2612" w14:font="MS Gothic"/>
                <w14:uncheckedState w14:val="2610" w14:font="MS Gothic"/>
              </w14:checkbox>
            </w:sdtPr>
            <w:sdtEndPr/>
            <w:sdtContent>
              <w:r w:rsidR="00D95312">
                <w:rPr>
                  <w:rFonts w:ascii="MS Gothic" w:eastAsia="MS Gothic" w:hAnsi="MS Gothic" w:hint="eastAsia"/>
                </w:rPr>
                <w:t>☐</w:t>
              </w:r>
            </w:sdtContent>
          </w:sdt>
          <w:r w:rsidR="00D95312">
            <w:t xml:space="preserve"> Une offre arrivée hors délai fait l’objet des pénalités prévues à l’article 5.3.1 du présent CCAP.</w:t>
          </w:r>
        </w:p>
      </w:sdtContent>
    </w:sdt>
    <w:p w:rsidR="00D95312" w:rsidRDefault="00D95312" w:rsidP="00D95312">
      <w:r>
        <w:t>En cas de retard trop important, l’acheteur public peut faire intervenir un prestataire tiers, ce qui suspend l’exclusivité du titulaire sur les prestations.</w:t>
      </w:r>
    </w:p>
    <w:p w:rsidR="00D95312" w:rsidRDefault="00D95312" w:rsidP="00D95312">
      <w:r>
        <w:t>A cet effet, l’acheteur notifie au titulaire sa décision de consulter un tiers, ce qui arrête le montant des éventuelles pénalités applicables.</w:t>
      </w:r>
    </w:p>
    <w:p w:rsidR="00D95312" w:rsidRDefault="00D95312" w:rsidP="00D95312">
      <w:r>
        <w:t>Toutefois,  en cas de non réponse ou de réponse non suffisante du titulaire, l’acheteur public peut, à sa discrétion, le mettre en demeure de répondre à ses sollicitations en vertu du marché, puis éventuellement résilier le marché.</w:t>
      </w:r>
    </w:p>
    <w:p w:rsidR="00F61EEB" w:rsidRPr="00E921AA" w:rsidRDefault="00447149" w:rsidP="00E921AA">
      <w:pPr>
        <w:pStyle w:val="1NIV1"/>
      </w:pPr>
      <w:bookmarkStart w:id="53" w:name="_Toc64622187"/>
      <w:r>
        <w:t>4</w:t>
      </w:r>
      <w:r w:rsidR="00E921AA" w:rsidRPr="00E921AA">
        <w:t xml:space="preserve">.2 – PROCEDURE </w:t>
      </w:r>
      <w:r w:rsidR="006B5D71">
        <w:t xml:space="preserve">DE CONSULTATION </w:t>
      </w:r>
      <w:r w:rsidR="00E921AA" w:rsidRPr="00E921AA">
        <w:t>EN CAS DE MARCHE CADRE MULTI-TITULAIRE</w:t>
      </w:r>
      <w:bookmarkEnd w:id="53"/>
    </w:p>
    <w:p w:rsidR="00F61EEB" w:rsidRDefault="00F61EEB" w:rsidP="00F61EEB">
      <w:r>
        <w:t xml:space="preserve">Pendant la durée de validité du marché cadre, à la survenance du besoin, </w:t>
      </w:r>
      <w:r w:rsidR="009E7146">
        <w:t>la personne responsable du marché</w:t>
      </w:r>
      <w:r>
        <w:t xml:space="preserve"> consulte tous les titulaires du marché cadre par écrit en précisant :</w:t>
      </w:r>
    </w:p>
    <w:p w:rsidR="00E921AA" w:rsidRDefault="00E921AA" w:rsidP="00E921AA">
      <w:pPr>
        <w:pStyle w:val="Listenormale"/>
      </w:pPr>
      <w:r>
        <w:t xml:space="preserve">ses besoins en </w:t>
      </w:r>
      <w:r w:rsidR="00C438FF">
        <w:t>quantité</w:t>
      </w:r>
      <w:r>
        <w:t xml:space="preserve"> et nature,</w:t>
      </w:r>
    </w:p>
    <w:p w:rsidR="00E921AA" w:rsidRDefault="00E921AA" w:rsidP="00E921AA">
      <w:pPr>
        <w:pStyle w:val="Listenormale"/>
      </w:pPr>
      <w:r>
        <w:t>les modalités de réponse et de présentation de l’offre,</w:t>
      </w:r>
    </w:p>
    <w:sdt>
      <w:sdtPr>
        <w:id w:val="-400597257"/>
      </w:sdtPr>
      <w:sdtEndPr/>
      <w:sdtContent>
        <w:p w:rsidR="00BD1887" w:rsidRPr="00BD1887" w:rsidRDefault="00F2448C" w:rsidP="00BD1887">
          <w:pPr>
            <w:pStyle w:val="Listenormale"/>
          </w:pPr>
          <w:sdt>
            <w:sdtPr>
              <w:id w:val="-19369039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le délai d’exécution plafond,</w:t>
          </w:r>
        </w:p>
      </w:sdtContent>
    </w:sdt>
    <w:p w:rsidR="00BD1887" w:rsidRDefault="00BD1887" w:rsidP="00BD1887">
      <w:pPr>
        <w:pStyle w:val="Listenormale"/>
      </w:pPr>
      <w:r>
        <w:t>les critères de jugement des offres et leur pondération,</w:t>
      </w:r>
    </w:p>
    <w:p w:rsidR="00E921AA" w:rsidRDefault="00E921AA" w:rsidP="00E921AA">
      <w:pPr>
        <w:pStyle w:val="Listenormale"/>
      </w:pPr>
      <w:r>
        <w:t>la date et l’heure limites ainsi que le lieu de remise des offres.</w:t>
      </w:r>
    </w:p>
    <w:p w:rsidR="00F61EEB" w:rsidRDefault="00F61EEB" w:rsidP="00F61EEB">
      <w:r>
        <w:t>Cette consultation a lieu au moins 7 jours avant la date limite de remise des offres. Le délai de consultation tient compte du temps nécessaire à la bonne constitution d’une offre compte tenu des besoins ciblés, et peut être modifié en cours de consultation.</w:t>
      </w:r>
    </w:p>
    <w:p w:rsidR="00F61EEB" w:rsidRDefault="00F61EEB" w:rsidP="00F61EEB">
      <w:r>
        <w:lastRenderedPageBreak/>
        <w:t xml:space="preserve">Les offres des titulaires sont remises dans le délai et selon les modalités prescrits, sous la forme de l’acte d’engagement de marché subséquent dont le modèle est joint en annexe </w:t>
      </w:r>
      <w:r w:rsidR="00BD1887">
        <w:t>1</w:t>
      </w:r>
      <w:r>
        <w:t xml:space="preserve"> au présent CCAP, complété et signé.</w:t>
      </w:r>
    </w:p>
    <w:p w:rsidR="00F61EEB" w:rsidRDefault="00F61EEB" w:rsidP="00F61EEB">
      <w:r>
        <w:t xml:space="preserve">Chaque offre </w:t>
      </w:r>
      <w:r w:rsidR="00E921AA">
        <w:t>est accompagnée de tous les justificatifs administratifs et techniques demandés</w:t>
      </w:r>
      <w:r>
        <w:t>.</w:t>
      </w:r>
    </w:p>
    <w:p w:rsidR="00F61EEB" w:rsidRDefault="00F61EEB" w:rsidP="00F61EEB">
      <w:r>
        <w:t xml:space="preserve">Les offres parvenues hors délai </w:t>
      </w:r>
      <w:r w:rsidR="009E7146">
        <w:t>ne sont pas prises en considération et sont assimilées à une absence d’offre</w:t>
      </w:r>
      <w:r>
        <w:t>.</w:t>
      </w:r>
    </w:p>
    <w:p w:rsidR="009E7146" w:rsidRDefault="009E7146" w:rsidP="009E7146">
      <w:r>
        <w:t>Chaque titulaire est tenu de répondre aux consultations. En cas de non réponse ou de réponse non suffisante d’un titulaire, l’acheteur public peut, à sa discrétion, le mettre en demeure de répondre à ses sollicitations en vertu du marché, puis éventuellement résilier le marché.</w:t>
      </w:r>
    </w:p>
    <w:p w:rsidR="00F61EEB" w:rsidRDefault="00447149" w:rsidP="00E921AA">
      <w:pPr>
        <w:pStyle w:val="1NIV1"/>
      </w:pPr>
      <w:bookmarkStart w:id="54" w:name="_Toc64622188"/>
      <w:r>
        <w:t>4</w:t>
      </w:r>
      <w:r w:rsidR="00E921AA">
        <w:t>.3 – JUGEMENT DES OFFRES</w:t>
      </w:r>
      <w:bookmarkEnd w:id="54"/>
    </w:p>
    <w:p w:rsidR="00F61EEB" w:rsidRDefault="00F61EEB" w:rsidP="00F61EEB">
      <w:r>
        <w:t xml:space="preserve">Lors de la consultation, </w:t>
      </w:r>
      <w:r w:rsidR="009E7146">
        <w:t>la personne responsable du marché</w:t>
      </w:r>
      <w:r>
        <w:t xml:space="preserve"> précise par écrit la pondération des critères de jugement des offres.</w:t>
      </w:r>
    </w:p>
    <w:p w:rsidR="00F61EEB" w:rsidRDefault="00F61EEB" w:rsidP="00F61EEB">
      <w:r>
        <w:t>Ces critères sont les suivants, à défaut d’autres précisions ou compléments explicités lors de la consultation :</w:t>
      </w:r>
    </w:p>
    <w:p w:rsidR="00F61EEB" w:rsidRPr="00447149" w:rsidRDefault="00F61EEB" w:rsidP="00E921AA">
      <w:pPr>
        <w:pStyle w:val="Listenum"/>
        <w:rPr>
          <w:color w:val="0070C0"/>
        </w:rPr>
      </w:pPr>
      <w:r w:rsidRPr="00447149">
        <w:rPr>
          <w:color w:val="0070C0"/>
        </w:rPr>
        <w:t>Pourcentage de réponse à la quantité demandée par l’acheteur public ;</w:t>
      </w:r>
    </w:p>
    <w:p w:rsidR="00F61EEB" w:rsidRPr="00447149" w:rsidRDefault="00F61EEB" w:rsidP="00E921AA">
      <w:pPr>
        <w:pStyle w:val="Listenum"/>
        <w:rPr>
          <w:color w:val="0070C0"/>
        </w:rPr>
      </w:pPr>
      <w:r w:rsidRPr="00447149">
        <w:rPr>
          <w:color w:val="0070C0"/>
        </w:rPr>
        <w:t>Prix (les prix unitaires</w:t>
      </w:r>
      <w:r w:rsidR="005C4991">
        <w:rPr>
          <w:color w:val="0070C0"/>
        </w:rPr>
        <w:t xml:space="preserve"> ou d’unité</w:t>
      </w:r>
      <w:r w:rsidRPr="00447149">
        <w:rPr>
          <w:color w:val="0070C0"/>
        </w:rPr>
        <w:t xml:space="preserve"> </w:t>
      </w:r>
      <w:r w:rsidR="00E921AA" w:rsidRPr="00447149">
        <w:rPr>
          <w:color w:val="0070C0"/>
        </w:rPr>
        <w:t xml:space="preserve">proposés </w:t>
      </w:r>
      <w:r w:rsidRPr="00447149">
        <w:rPr>
          <w:color w:val="0070C0"/>
        </w:rPr>
        <w:t>étant encadrés par le</w:t>
      </w:r>
      <w:r w:rsidR="00E921AA" w:rsidRPr="00447149">
        <w:rPr>
          <w:color w:val="0070C0"/>
        </w:rPr>
        <w:t>s</w:t>
      </w:r>
      <w:r w:rsidRPr="00447149">
        <w:rPr>
          <w:color w:val="0070C0"/>
        </w:rPr>
        <w:t xml:space="preserve"> prix plafond du BPU</w:t>
      </w:r>
      <w:r w:rsidR="00E921AA" w:rsidRPr="00447149">
        <w:rPr>
          <w:color w:val="0070C0"/>
        </w:rPr>
        <w:t xml:space="preserve"> du marché cadre</w:t>
      </w:r>
      <w:r w:rsidRPr="00447149">
        <w:rPr>
          <w:color w:val="0070C0"/>
        </w:rPr>
        <w:t>)</w:t>
      </w:r>
      <w:r w:rsidR="00E921AA" w:rsidRPr="00447149">
        <w:rPr>
          <w:color w:val="0070C0"/>
        </w:rPr>
        <w:t xml:space="preserve"> </w:t>
      </w:r>
      <w:r w:rsidRPr="00447149">
        <w:rPr>
          <w:color w:val="0070C0"/>
        </w:rPr>
        <w:t>;</w:t>
      </w:r>
    </w:p>
    <w:p w:rsidR="00F61EEB" w:rsidRPr="00447149" w:rsidRDefault="00F61EEB" w:rsidP="00E921AA">
      <w:pPr>
        <w:pStyle w:val="Listenum"/>
        <w:rPr>
          <w:color w:val="0070C0"/>
        </w:rPr>
      </w:pPr>
      <w:r w:rsidRPr="00447149">
        <w:rPr>
          <w:color w:val="0070C0"/>
        </w:rPr>
        <w:t xml:space="preserve">Délai </w:t>
      </w:r>
      <w:r w:rsidR="00AF325D">
        <w:rPr>
          <w:color w:val="0070C0"/>
        </w:rPr>
        <w:t>d’exécution (encadré par l’éventuel</w:t>
      </w:r>
      <w:r w:rsidRPr="00447149">
        <w:rPr>
          <w:color w:val="0070C0"/>
        </w:rPr>
        <w:t xml:space="preserve"> délai plafond indiqué lors de la consultation</w:t>
      </w:r>
      <w:r w:rsidR="00E921AA" w:rsidRPr="00447149">
        <w:rPr>
          <w:color w:val="0070C0"/>
        </w:rPr>
        <w:t xml:space="preserve"> relative au marché subséquent</w:t>
      </w:r>
      <w:r w:rsidRPr="00447149">
        <w:rPr>
          <w:color w:val="0070C0"/>
        </w:rPr>
        <w:t>) ;</w:t>
      </w:r>
    </w:p>
    <w:p w:rsidR="00F61EEB" w:rsidRPr="00447149" w:rsidRDefault="00447149" w:rsidP="00E921AA">
      <w:pPr>
        <w:pStyle w:val="Listenum"/>
        <w:rPr>
          <w:color w:val="0070C0"/>
        </w:rPr>
      </w:pPr>
      <w:r w:rsidRPr="00447149">
        <w:rPr>
          <w:color w:val="0070C0"/>
        </w:rPr>
        <w:t>Performance technique : [à préciser]</w:t>
      </w:r>
      <w:r w:rsidR="00F61EEB" w:rsidRPr="00447149">
        <w:rPr>
          <w:color w:val="0070C0"/>
        </w:rPr>
        <w:t>.</w:t>
      </w:r>
    </w:p>
    <w:p w:rsidR="00F61EEB" w:rsidRDefault="00F61EEB" w:rsidP="00F61EEB">
      <w:r>
        <w:t>Les offres irrégulières</w:t>
      </w:r>
      <w:r w:rsidR="00447149">
        <w:t>,</w:t>
      </w:r>
      <w:r>
        <w:t xml:space="preserve"> inacceptables </w:t>
      </w:r>
      <w:r w:rsidR="00447149">
        <w:t xml:space="preserve">ou inappropriées </w:t>
      </w:r>
      <w:r>
        <w:t>sont éliminées, et ne sont pas classées.</w:t>
      </w:r>
    </w:p>
    <w:p w:rsidR="00447149" w:rsidRPr="009F5FB6" w:rsidRDefault="00447149" w:rsidP="00447149">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rsidR="00447149" w:rsidRDefault="00447149" w:rsidP="00447149">
      <w:r>
        <w:t>La personne responsable du marché peut autoriser sa régularisation, à condition qu’il soit donné cette possibilité à tous les soumissionnaires ayant présenté une offre irrégulière et sous réserve que les éléments substantiels de l’offre (prix, délais, spécifications techniques, …) ne soient pas modifiés.</w:t>
      </w:r>
    </w:p>
    <w:p w:rsidR="00447149" w:rsidRDefault="00447149" w:rsidP="00447149">
      <w:r w:rsidRPr="009F5FB6">
        <w:t>Une offre est i</w:t>
      </w:r>
      <w:r>
        <w:t xml:space="preserve">nacceptable lorsque </w:t>
      </w:r>
      <w:r w:rsidR="00546E4A">
        <w:t>son montant excède le seuil défini par la personne responsable du marché lors de la consultation.</w:t>
      </w:r>
    </w:p>
    <w:p w:rsidR="00447149" w:rsidRDefault="00447149" w:rsidP="00447149">
      <w:r w:rsidRPr="009F5FB6">
        <w:t>Une offre inappropriée est une offre sans rapport avec le marché</w:t>
      </w:r>
      <w:r>
        <w:t xml:space="preserve"> subséquent</w:t>
      </w:r>
      <w:r w:rsidRPr="009F5FB6">
        <w:t xml:space="preserve"> parce qu’elle n’est manifestement pas en mesure, sans modification substantielle, de répondre au besoin et aux exige</w:t>
      </w:r>
      <w:r>
        <w:t>nces formulés dans la</w:t>
      </w:r>
      <w:r w:rsidRPr="009F5FB6">
        <w:t xml:space="preserve"> consultation.</w:t>
      </w:r>
    </w:p>
    <w:p w:rsidR="00F61EEB" w:rsidRDefault="00F61EEB" w:rsidP="00F61EEB">
      <w:r>
        <w:t>Le traitement des offres anormalement basses est fait suivant les modalités du III de l’article 27-1 de la délibéra</w:t>
      </w:r>
      <w:r w:rsidR="00447149">
        <w:t xml:space="preserve">tion n° 424 du 20 mars 2019, la personne responsable du marché </w:t>
      </w:r>
      <w:r>
        <w:t>se substituant à la commission pour les démarches et décisions qui y sont décrites.</w:t>
      </w:r>
    </w:p>
    <w:p w:rsidR="006B5D71" w:rsidRDefault="006B5D71" w:rsidP="006B5D71">
      <w:pPr>
        <w:pStyle w:val="1NIV1"/>
      </w:pPr>
      <w:bookmarkStart w:id="55" w:name="_Toc64622189"/>
      <w:r>
        <w:t>4.4 – ATTRIBUTION DU MARCHÉ SUBSÉQUENT</w:t>
      </w:r>
      <w:bookmarkEnd w:id="55"/>
    </w:p>
    <w:p w:rsidR="006B5D71" w:rsidRDefault="006B5D71" w:rsidP="006B5D71">
      <w:r>
        <w:t>Après notation et classement des offres non éliminées, l’acheteur public attribue le marché subséquent au soumissionnaire dont l’offre est la mieux classée.</w:t>
      </w:r>
    </w:p>
    <w:p w:rsidR="004A4124" w:rsidRDefault="004A4124" w:rsidP="004A4124">
      <w:pPr>
        <w:pStyle w:val="2NIV2"/>
      </w:pPr>
      <w:bookmarkStart w:id="56" w:name="_Toc60322272"/>
      <w:bookmarkStart w:id="57" w:name="_Toc64622190"/>
      <w:r>
        <w:t xml:space="preserve">4.4.1 – Marché subséquent à </w:t>
      </w:r>
      <w:bookmarkEnd w:id="56"/>
      <w:bookmarkEnd w:id="57"/>
      <w:r w:rsidR="00422C2B">
        <w:t>bons de commande</w:t>
      </w:r>
    </w:p>
    <w:p w:rsidR="004A4124" w:rsidRDefault="004A4124" w:rsidP="004A4124">
      <w:r>
        <w:t>Sans objet.</w:t>
      </w:r>
    </w:p>
    <w:p w:rsidR="006B5D71" w:rsidRDefault="00C438FF" w:rsidP="00C438FF">
      <w:pPr>
        <w:pStyle w:val="2NIV2"/>
      </w:pPr>
      <w:bookmarkStart w:id="58" w:name="_Toc64622191"/>
      <w:r>
        <w:t>4.4.2 – Marché subséquent à quantités prédéfinies</w:t>
      </w:r>
      <w:bookmarkEnd w:id="58"/>
    </w:p>
    <w:p w:rsidR="00F61EEB" w:rsidRDefault="00C438FF" w:rsidP="00F61EEB">
      <w:r>
        <w:lastRenderedPageBreak/>
        <w:t>En cas de marché subséquent à quantités prédéfinies et s</w:t>
      </w:r>
      <w:r w:rsidR="00F61EEB">
        <w:t xml:space="preserve">i la quantité proposée dans </w:t>
      </w:r>
      <w:r w:rsidR="00447149">
        <w:t>l’</w:t>
      </w:r>
      <w:r w:rsidR="00F61EEB">
        <w:t>offre</w:t>
      </w:r>
      <w:r w:rsidR="00447149">
        <w:t xml:space="preserve"> de l’attributaire</w:t>
      </w:r>
      <w:r w:rsidR="00F61EEB">
        <w:t xml:space="preserve"> est inférieure au besoin en quantité exprimé par l’acheteur public, celui-ci peut attribuer un autre marché subséquent au soumissionnaire suivant dans le classement des offres, à concurrence des quantités à compléter.</w:t>
      </w:r>
    </w:p>
    <w:p w:rsidR="00F61EEB" w:rsidRDefault="00F61EEB" w:rsidP="00F61EEB">
      <w:r>
        <w:t xml:space="preserve">Dans ce cas, </w:t>
      </w:r>
      <w:r w:rsidR="009E7146">
        <w:t>la personne responsable du marché</w:t>
      </w:r>
      <w:r>
        <w:t xml:space="preserve"> sollicite par écrit le soumissionnaire suivant qui doit confirmer la modification des quantités en remettant un acte d’engagement complété, signé, modifié en conséquence. A défaut, et après expiration du délai fixé dans sa demande, </w:t>
      </w:r>
      <w:r w:rsidR="009E7146">
        <w:t>la personne responsable du marché</w:t>
      </w:r>
      <w:r>
        <w:t xml:space="preserve"> peut faire appel au soumissionnaire suivant dans le classement des offres.</w:t>
      </w:r>
    </w:p>
    <w:p w:rsidR="00F61EEB" w:rsidRDefault="00F61EEB" w:rsidP="00F61EEB">
      <w:r>
        <w:t>Cette démarche peut être reproduite tant que le besoin en quantité exprimé n’est pas satisfait et qu’il reste des offres classées.</w:t>
      </w:r>
    </w:p>
    <w:p w:rsidR="00F61EEB" w:rsidRDefault="00F61EEB" w:rsidP="00F61EEB">
      <w:r>
        <w:t>A l’issue de la procédure de consultation en vue de passer un ou plusieurs marchés subséquents, si le besoin en quantité exprimé ne peut être couvert par le ou les titulaires de marché cadre, l’acheteur public est libre de procéder à l’une des deux démarches suivantes :</w:t>
      </w:r>
    </w:p>
    <w:p w:rsidR="00F61EEB" w:rsidRDefault="006B5D71" w:rsidP="006B5D71">
      <w:pPr>
        <w:pStyle w:val="Listenum"/>
        <w:numPr>
          <w:ilvl w:val="0"/>
          <w:numId w:val="42"/>
        </w:numPr>
      </w:pPr>
      <w:r>
        <w:t>C</w:t>
      </w:r>
      <w:r w:rsidR="00F61EEB">
        <w:t>onsulter à nouveau les titulaires de marché cadre qui n’auraient pas été attributaires d’un marché subséquent ;</w:t>
      </w:r>
    </w:p>
    <w:p w:rsidR="00F61EEB" w:rsidRDefault="006B5D71" w:rsidP="006B5D71">
      <w:pPr>
        <w:pStyle w:val="Listenum"/>
        <w:numPr>
          <w:ilvl w:val="0"/>
          <w:numId w:val="42"/>
        </w:numPr>
      </w:pPr>
      <w:r>
        <w:t>P</w:t>
      </w:r>
      <w:r w:rsidR="00F61EEB">
        <w:t>asser un marché, un contrat ou des commandes ayant le même objet que le présent marché, avec d’autres prestataires tiers au marché cadre, et de leur faire exécuter tout ou partie des mêmes prestations en parallèle.</w:t>
      </w:r>
    </w:p>
    <w:p w:rsidR="00F61EEB" w:rsidRDefault="00F61EEB" w:rsidP="00F61EEB">
      <w:r>
        <w:t xml:space="preserve">Lorsque la démarche 2 est mise en </w:t>
      </w:r>
      <w:proofErr w:type="spellStart"/>
      <w:r>
        <w:t>oeuvre</w:t>
      </w:r>
      <w:proofErr w:type="spellEnd"/>
      <w:r>
        <w:t xml:space="preserve">, le(s) titulaire(s) du marché cadre </w:t>
      </w:r>
      <w:proofErr w:type="gramStart"/>
      <w:r>
        <w:t>perd(</w:t>
      </w:r>
      <w:proofErr w:type="spellStart"/>
      <w:proofErr w:type="gramEnd"/>
      <w:r>
        <w:t>ent</w:t>
      </w:r>
      <w:proofErr w:type="spellEnd"/>
      <w:r>
        <w:t>) son (leur) exclusivité de fournisseur(s).</w:t>
      </w:r>
    </w:p>
    <w:p w:rsidR="00F61EEB" w:rsidRDefault="00F61EEB" w:rsidP="00F61EEB">
      <w:r>
        <w:t>La démarche 2 peut également s’appliquer en cas de marché cadre mono-attributaire, lorsque le titulaire ne répond pas à une consultation de l’acheteur public, ou propose des quantités insuffisantes. Le titulaire unique en est informé.</w:t>
      </w:r>
    </w:p>
    <w:p w:rsidR="0038255E" w:rsidRPr="003629D5" w:rsidRDefault="00546E4A" w:rsidP="00C438FF">
      <w:pPr>
        <w:pStyle w:val="1NIV1"/>
      </w:pPr>
      <w:bookmarkStart w:id="59" w:name="_Toc64622192"/>
      <w:r>
        <w:t>4.5</w:t>
      </w:r>
      <w:r w:rsidR="0038255E" w:rsidRPr="003629D5">
        <w:t xml:space="preserve">  - MODALITES DE COMMANDE</w:t>
      </w:r>
      <w:r w:rsidR="0038255E">
        <w:t xml:space="preserve"> DES PRESTATIONS</w:t>
      </w:r>
      <w:r w:rsidR="00C438FF">
        <w:t xml:space="preserve"> DU MARCHE SUBSEQUENT</w:t>
      </w:r>
      <w:bookmarkEnd w:id="59"/>
    </w:p>
    <w:p w:rsidR="004A4124" w:rsidRDefault="00546E4A" w:rsidP="004A4124">
      <w:pPr>
        <w:pStyle w:val="2NIV2"/>
      </w:pPr>
      <w:bookmarkStart w:id="60" w:name="_Toc60322275"/>
      <w:bookmarkStart w:id="61" w:name="_Toc64622193"/>
      <w:bookmarkStart w:id="62" w:name="_Toc47515536"/>
      <w:bookmarkStart w:id="63" w:name="_Toc47349735"/>
      <w:bookmarkStart w:id="64" w:name="_Toc47515537"/>
      <w:r>
        <w:t>4.5</w:t>
      </w:r>
      <w:r w:rsidR="004A4124">
        <w:t>.1 – En cas de marché subséquent à bons de commande</w:t>
      </w:r>
      <w:bookmarkEnd w:id="60"/>
      <w:bookmarkEnd w:id="61"/>
    </w:p>
    <w:bookmarkEnd w:id="62"/>
    <w:bookmarkEnd w:id="63"/>
    <w:bookmarkEnd w:id="64"/>
    <w:p w:rsidR="004A4124" w:rsidRPr="003629D5" w:rsidRDefault="004A4124" w:rsidP="004A4124">
      <w:r>
        <w:t>Sans objet.</w:t>
      </w:r>
    </w:p>
    <w:p w:rsidR="00A203DE" w:rsidRDefault="00546E4A" w:rsidP="00A203DE">
      <w:pPr>
        <w:pStyle w:val="2NIV2"/>
      </w:pPr>
      <w:bookmarkStart w:id="65" w:name="_Toc64622194"/>
      <w:r>
        <w:t>4.5</w:t>
      </w:r>
      <w:r w:rsidR="00A203DE">
        <w:t>.2 – En cas de marché subséquent à quantités prédéfinies</w:t>
      </w:r>
      <w:bookmarkEnd w:id="65"/>
    </w:p>
    <w:p w:rsidR="00DA0AE1" w:rsidRDefault="00546E4A" w:rsidP="00DA0AE1">
      <w:pPr>
        <w:pStyle w:val="3NIV3"/>
      </w:pPr>
      <w:bookmarkStart w:id="66" w:name="_Toc56387185"/>
      <w:bookmarkStart w:id="67" w:name="_Toc60326043"/>
      <w:bookmarkStart w:id="68" w:name="_Toc64622195"/>
      <w:bookmarkStart w:id="69" w:name="_Toc56387186"/>
      <w:r>
        <w:t>4.5</w:t>
      </w:r>
      <w:r w:rsidR="00DA0AE1">
        <w:t xml:space="preserve">.2.1 – Démarrage de l’exécution </w:t>
      </w:r>
      <w:bookmarkEnd w:id="66"/>
      <w:bookmarkEnd w:id="67"/>
      <w:r w:rsidR="00DA0AE1">
        <w:t>des prestations</w:t>
      </w:r>
      <w:bookmarkEnd w:id="68"/>
    </w:p>
    <w:p w:rsidR="00DA0AE1" w:rsidRDefault="00DA0AE1" w:rsidP="00DA0AE1">
      <w:r>
        <w:t>Le démarrage de l’exécution des prestations, qui coïncide avec le démarrage du délai contractuel d’exécution des prestations, intervient :</w:t>
      </w:r>
    </w:p>
    <w:sdt>
      <w:sdtPr>
        <w:id w:val="589977455"/>
      </w:sdtPr>
      <w:sdtEndPr/>
      <w:sdtContent>
        <w:p w:rsidR="00DA0AE1" w:rsidRDefault="00F2448C" w:rsidP="00DA0AE1">
          <w:pPr>
            <w:pStyle w:val="ListeX"/>
          </w:pPr>
          <w:sdt>
            <w:sdtPr>
              <w:id w:val="634910034"/>
              <w14:checkbox>
                <w14:checked w14:val="0"/>
                <w14:checkedState w14:val="2612" w14:font="MS Gothic"/>
                <w14:uncheckedState w14:val="2610" w14:font="MS Gothic"/>
              </w14:checkbox>
            </w:sdtPr>
            <w:sdtEndPr/>
            <w:sdtContent>
              <w:r w:rsidR="00DA0AE1">
                <w:rPr>
                  <w:rFonts w:ascii="MS Gothic" w:eastAsia="MS Gothic" w:hAnsi="MS Gothic" w:hint="eastAsia"/>
                </w:rPr>
                <w:t>☐</w:t>
              </w:r>
            </w:sdtContent>
          </w:sdt>
          <w:r w:rsidR="00DA0AE1">
            <w:t xml:space="preserve"> A la date précisée lors de la notification du marché subséquent, ou à défaut à compter du lendemain de la date de notification du marché subséquent ;</w:t>
          </w:r>
        </w:p>
      </w:sdtContent>
    </w:sdt>
    <w:sdt>
      <w:sdtPr>
        <w:id w:val="-375385834"/>
      </w:sdtPr>
      <w:sdtEndPr/>
      <w:sdtContent>
        <w:p w:rsidR="00DA0AE1" w:rsidRDefault="00F2448C" w:rsidP="00DA0AE1">
          <w:pPr>
            <w:pStyle w:val="ListeX"/>
          </w:pPr>
          <w:sdt>
            <w:sdtPr>
              <w:id w:val="792792918"/>
              <w14:checkbox>
                <w14:checked w14:val="0"/>
                <w14:checkedState w14:val="2612" w14:font="MS Gothic"/>
                <w14:uncheckedState w14:val="2610" w14:font="MS Gothic"/>
              </w14:checkbox>
            </w:sdtPr>
            <w:sdtEndPr/>
            <w:sdtContent>
              <w:r w:rsidR="00DA0AE1">
                <w:rPr>
                  <w:rFonts w:ascii="MS Gothic" w:eastAsia="MS Gothic" w:hAnsi="MS Gothic" w:hint="eastAsia"/>
                </w:rPr>
                <w:t>☐</w:t>
              </w:r>
            </w:sdtContent>
          </w:sdt>
          <w:r w:rsidR="00DA0AE1">
            <w:t xml:space="preserve"> A la date précisée par ordre de service de démarrage signé par la personne responsable du marché, ou à défaut à compter du lendemain de la date de notification de cet ordre de service.</w:t>
          </w:r>
        </w:p>
      </w:sdtContent>
    </w:sdt>
    <w:p w:rsidR="00A203DE" w:rsidRDefault="00546E4A" w:rsidP="00A203DE">
      <w:pPr>
        <w:pStyle w:val="3NIV3"/>
      </w:pPr>
      <w:bookmarkStart w:id="70" w:name="_Toc64622196"/>
      <w:r>
        <w:t>4.5</w:t>
      </w:r>
      <w:r w:rsidR="00A203DE">
        <w:t xml:space="preserve">.2.2 – Demande de prestations </w:t>
      </w:r>
      <w:bookmarkEnd w:id="69"/>
      <w:r w:rsidR="00A203DE">
        <w:t>supplémentaires</w:t>
      </w:r>
      <w:bookmarkEnd w:id="70"/>
    </w:p>
    <w:p w:rsidR="00A203DE" w:rsidRDefault="00A203DE" w:rsidP="00A203DE">
      <w:r>
        <w:t xml:space="preserve">Sauf en cas d’urgence, </w:t>
      </w:r>
      <w:r w:rsidR="00B062CB">
        <w:t>le référent du marché</w:t>
      </w:r>
      <w:r>
        <w:t xml:space="preserve"> consulte le titulaire en lui précisant les caractéristiques des prestations supplémentaires à fournir et l’invite à présenter une proposition de prix dans un délai minimal de 7 jours.</w:t>
      </w:r>
    </w:p>
    <w:p w:rsidR="00A203DE" w:rsidRDefault="00A203DE" w:rsidP="00A203DE">
      <w:r>
        <w:t xml:space="preserve">Après fourniture de cette proposition, ou en l’absence de proposition dans le délai imparti, ou encore en cas d’urgence, </w:t>
      </w:r>
      <w:r w:rsidR="00B062CB">
        <w:t>la personne responsable du marché</w:t>
      </w:r>
      <w:r>
        <w:t xml:space="preserve"> notifie au titulaire un ordre </w:t>
      </w:r>
      <w:r>
        <w:lastRenderedPageBreak/>
        <w:t>de service pour l’exécution des prestations supplémentaires avec un prix provisoire qu’il définit lui-même.</w:t>
      </w:r>
    </w:p>
    <w:p w:rsidR="00A203DE" w:rsidRDefault="00A203DE" w:rsidP="00A203DE">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A203DE" w:rsidRDefault="00A203DE" w:rsidP="00A203DE">
      <w:r>
        <w:t>Lorsque les prix sont arrêtés d’accord parties, ils font l’objet d’un avenant signé des deux parties.</w:t>
      </w:r>
    </w:p>
    <w:p w:rsidR="00A203DE" w:rsidRDefault="00A203DE" w:rsidP="00A203DE">
      <w:r>
        <w:t>Dans l’attente de cet avenant :</w:t>
      </w:r>
    </w:p>
    <w:p w:rsidR="00A203DE" w:rsidRDefault="00A203DE" w:rsidP="00A203DE">
      <w:pPr>
        <w:pStyle w:val="Listenormale"/>
      </w:pPr>
      <w:r>
        <w:t>les prix provisoires sont appliqués aux demandes de paiement, sans que les demandes de paiement totales ne puissent excéder le montant contractuel (marché initial ou dernier avenant) ;</w:t>
      </w:r>
    </w:p>
    <w:p w:rsidR="00A203DE" w:rsidRDefault="00A203DE" w:rsidP="00A203DE">
      <w:pPr>
        <w:pStyle w:val="Listenormale"/>
      </w:pPr>
      <w:r>
        <w:t>il est fait application des dispositions des articles 75 et 76 de la délibération n° 424 du 20 mars 2019.</w:t>
      </w:r>
    </w:p>
    <w:p w:rsidR="00A203DE" w:rsidRDefault="00546E4A" w:rsidP="00A203DE">
      <w:pPr>
        <w:pStyle w:val="3NIV3"/>
      </w:pPr>
      <w:bookmarkStart w:id="71" w:name="_Toc56387187"/>
      <w:bookmarkStart w:id="72" w:name="_Toc64622197"/>
      <w:r>
        <w:t>4.5</w:t>
      </w:r>
      <w:r w:rsidR="005C62C6">
        <w:t>.2.3 – Décision de poursuivre</w:t>
      </w:r>
      <w:bookmarkEnd w:id="71"/>
      <w:bookmarkEnd w:id="72"/>
    </w:p>
    <w:p w:rsidR="00A203DE" w:rsidRDefault="00A203DE" w:rsidP="00A203DE">
      <w:r>
        <w:t>Lorsque le montant des prestations exécutées atteint le montant contractuel (marché initial ou dernier avenant), l’acheteur public peut prendre une décision de poursuivre les prestations au-delà de ce montant contractuel, notifiée au titulaire.</w:t>
      </w:r>
    </w:p>
    <w:p w:rsidR="00A203DE" w:rsidRDefault="00A203DE" w:rsidP="00A203DE">
      <w:r>
        <w:t>Une décision de poursuivre n’est applicable que dans le cas d’une augmentation du volume des prestations figurant au marché et à la condition expresse qu’elles soient rémunérées conformément aux prix et selon les termes du marché.</w:t>
      </w:r>
    </w:p>
    <w:p w:rsidR="00A203DE" w:rsidRDefault="00A203DE" w:rsidP="00A203DE">
      <w:r>
        <w:t xml:space="preserve">Cette décision n’est valable que si elle indique le montant limite jusqu’auquel les prestations doivent être poursuivies. </w:t>
      </w:r>
    </w:p>
    <w:p w:rsidR="00A203DE" w:rsidRDefault="00A203DE" w:rsidP="00A203DE">
      <w:r>
        <w:t>Toute décision de poursuivre peut être suivie d’une autre décision de poursuivre, dans les mêmes conditions, et sous réserve du respect des seuils réglementaires d’augmentation du montant du marché.</w:t>
      </w:r>
    </w:p>
    <w:p w:rsidR="00A203DE" w:rsidRDefault="00A203DE" w:rsidP="005C62C6">
      <w:r>
        <w:t xml:space="preserve">La décision de poursuivre est suffisante pour justifier les paiements correspondants. Elle peut être intégrée </w:t>
      </w:r>
      <w:r w:rsidR="00710D78">
        <w:t>dans</w:t>
      </w:r>
      <w:r>
        <w:t xml:space="preserve"> un avenant signé des deux parties.</w:t>
      </w:r>
    </w:p>
    <w:p w:rsidR="001C5FBB" w:rsidRPr="003629D5" w:rsidRDefault="001C5FBB" w:rsidP="001C5FBB">
      <w:pPr>
        <w:pStyle w:val="1NIV1"/>
      </w:pPr>
      <w:bookmarkStart w:id="73" w:name="_Toc64622198"/>
      <w:r>
        <w:t>4.6</w:t>
      </w:r>
      <w:r w:rsidRPr="003629D5">
        <w:t xml:space="preserve">  - </w:t>
      </w:r>
      <w:r>
        <w:t>MONTANTS MINIMAL ET MAXIMAL COMMANDES AU TITRE DU MARCHE CADRE</w:t>
      </w:r>
      <w:bookmarkEnd w:id="73"/>
    </w:p>
    <w:p w:rsidR="001C5FBB" w:rsidRPr="001C5FBB" w:rsidRDefault="001C5FBB" w:rsidP="001C5FBB">
      <w:pPr>
        <w:pStyle w:val="2NIV2"/>
      </w:pPr>
      <w:bookmarkStart w:id="74" w:name="_Toc64622199"/>
      <w:r>
        <w:t xml:space="preserve">4.6.1 - </w:t>
      </w:r>
      <w:r w:rsidRPr="001C5FBB">
        <w:t>Application d’un minimum et / ou d’un maximum</w:t>
      </w:r>
      <w:bookmarkEnd w:id="74"/>
    </w:p>
    <w:p w:rsidR="001C5FBB" w:rsidRDefault="001C5FBB" w:rsidP="001C5FBB">
      <w:r>
        <w:t xml:space="preserve">Lorsque des montants minimal et / ou maximal </w:t>
      </w:r>
      <w:r w:rsidR="00334023">
        <w:t xml:space="preserve">susceptibles d’être commandés au cours des </w:t>
      </w:r>
      <w:r>
        <w:t>marchés subséquents sont fixés dans l’acte d’engagement du marché cadre :</w:t>
      </w:r>
    </w:p>
    <w:p w:rsidR="001C5FBB" w:rsidRDefault="001C5FBB" w:rsidP="001C5FBB">
      <w:r>
        <w:t xml:space="preserve">En cas de marché mono-titulaire : </w:t>
      </w:r>
      <w:r w:rsidR="00334023">
        <w:t>c</w:t>
      </w:r>
      <w:r>
        <w:t>es montants s’appliquent au titulaire</w:t>
      </w:r>
      <w:r w:rsidR="00334023">
        <w:t>.</w:t>
      </w:r>
    </w:p>
    <w:p w:rsidR="001C5FBB" w:rsidRDefault="001C5FBB" w:rsidP="001C5FBB">
      <w:r>
        <w:t xml:space="preserve">En cas de marché multi-titulaire : </w:t>
      </w:r>
      <w:r w:rsidR="00334023">
        <w:t>c</w:t>
      </w:r>
      <w:r>
        <w:t>es montants ne s’appliquent à aucun titulaire</w:t>
      </w:r>
      <w:r w:rsidR="00334023">
        <w:t xml:space="preserve">, mais à l’ensemble des marchés subséquents </w:t>
      </w:r>
      <w:r>
        <w:t xml:space="preserve">passés sur le fondement du marché </w:t>
      </w:r>
      <w:proofErr w:type="gramStart"/>
      <w:r w:rsidR="00334023">
        <w:t>cadre</w:t>
      </w:r>
      <w:proofErr w:type="gramEnd"/>
      <w:r>
        <w:t>.</w:t>
      </w:r>
    </w:p>
    <w:p w:rsidR="001C5FBB" w:rsidRDefault="001C5FBB" w:rsidP="001C5FBB">
      <w:pPr>
        <w:pStyle w:val="2NIV2"/>
      </w:pPr>
      <w:bookmarkStart w:id="75" w:name="_Toc64622200"/>
      <w:r>
        <w:t>4.6.2 - Période de référence</w:t>
      </w:r>
      <w:bookmarkEnd w:id="75"/>
    </w:p>
    <w:p w:rsidR="001C5FBB" w:rsidRDefault="001C5FBB" w:rsidP="001C5FBB">
      <w:r>
        <w:t xml:space="preserve">Les éventuels montants minimal et maximal </w:t>
      </w:r>
      <w:r w:rsidR="00334023">
        <w:t>susceptibles d’être commandés au cours des marchés subséquents</w:t>
      </w:r>
      <w:r>
        <w:t>, précisés à l’acte d’engagement</w:t>
      </w:r>
      <w:r w:rsidR="00334023">
        <w:t xml:space="preserve"> du marché cadre</w:t>
      </w:r>
      <w:r>
        <w:t>, sont établis sur la période de référence indiquée à l’acte d’engagement.</w:t>
      </w:r>
    </w:p>
    <w:p w:rsidR="001C5FBB" w:rsidRDefault="001C5FBB" w:rsidP="001C5FBB">
      <w:r>
        <w:t>A défaut d’indication dans l’acte d’engagement, la période de référence est de : douze (12) mois.</w:t>
      </w:r>
    </w:p>
    <w:p w:rsidR="001C5FBB" w:rsidRDefault="001C5FBB" w:rsidP="001C5FBB">
      <w:r>
        <w:t>Ces montants valent pour la durée initiale et pour chaque durée de reconduction du marché, au prorata de chaque durée par rapport à la période de référence.</w:t>
      </w:r>
    </w:p>
    <w:p w:rsidR="00A203DE" w:rsidRDefault="001C5FBB" w:rsidP="001C5FBB">
      <w:r>
        <w:lastRenderedPageBreak/>
        <w:t>Cette disposition est applicable également lorsque la durée initiale du marché ou en reconduction est raccourcie par son interruption avant son terme normal.</w:t>
      </w:r>
    </w:p>
    <w:p w:rsidR="001C5FBB" w:rsidRDefault="001C5FBB" w:rsidP="00A203DE">
      <w:pPr>
        <w:overflowPunct/>
        <w:autoSpaceDE/>
        <w:autoSpaceDN/>
        <w:adjustRightInd/>
        <w:spacing w:before="0" w:after="0"/>
        <w:ind w:left="0"/>
        <w:jc w:val="left"/>
        <w:textAlignment w:val="auto"/>
      </w:pP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76" w:name="_Toc64622201"/>
      <w:r>
        <w:lastRenderedPageBreak/>
        <w:t xml:space="preserve">ARTICLE </w:t>
      </w:r>
      <w:r w:rsidR="00386F03">
        <w:t>5</w:t>
      </w:r>
      <w:r>
        <w:t xml:space="preserve">  - DUREE, RECONDUCTION, DELAIS, PENALITES</w:t>
      </w:r>
      <w:bookmarkEnd w:id="76"/>
    </w:p>
    <w:p w:rsidR="00DC2EF5" w:rsidRDefault="00F93867" w:rsidP="008C446F">
      <w:pPr>
        <w:pStyle w:val="1NIV1"/>
      </w:pPr>
      <w:bookmarkStart w:id="77" w:name="_Toc64622202"/>
      <w:r>
        <w:t>5.1 – DUREE DE VALIDITE DU MARCHE, RECONDUCTION</w:t>
      </w:r>
      <w:r w:rsidR="004D3671">
        <w:t xml:space="preserve">, DELAIS </w:t>
      </w:r>
      <w:r>
        <w:t>D’EXECUTION</w:t>
      </w:r>
      <w:bookmarkEnd w:id="77"/>
    </w:p>
    <w:p w:rsidR="00DC2EF5" w:rsidRDefault="009D065A" w:rsidP="00DC2EF5">
      <w:r>
        <w:t>Voir article 5</w:t>
      </w:r>
      <w:r w:rsidR="005C62C6">
        <w:t xml:space="preserve"> de l’acte d’engagement du marché cadre et article 5 de l’acte d’engagement des marchés subséquents.</w:t>
      </w:r>
    </w:p>
    <w:p w:rsidR="0051549F" w:rsidRDefault="0051549F" w:rsidP="0051549F">
      <w:r>
        <w:t xml:space="preserve">Les délais d’exécution du marché subséquent sont indiqués à l’article 5 dudit marché. Ils commencent à courir comme indiqué à l’article </w:t>
      </w:r>
      <w:r w:rsidR="00546E4A">
        <w:t>4.5</w:t>
      </w:r>
      <w:r>
        <w:t>.2.1 du présent CCAP.</w:t>
      </w:r>
    </w:p>
    <w:p w:rsidR="00DF6ED0" w:rsidRPr="00386F03" w:rsidRDefault="00DF6ED0" w:rsidP="00DC2EF5">
      <w:r>
        <w:t xml:space="preserve">Si </w:t>
      </w:r>
      <w:r w:rsidR="00966E77">
        <w:t>après application d</w:t>
      </w:r>
      <w:r w:rsidR="005C62C6">
        <w:t>’un</w:t>
      </w:r>
      <w:r w:rsidR="00966E77">
        <w:t xml:space="preserve"> </w:t>
      </w:r>
      <w:r w:rsidR="00CE1D08">
        <w:t>délai contractuel applicable</w:t>
      </w:r>
      <w:r w:rsidR="00966E77">
        <w:t>,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78" w:name="_Toc64622203"/>
      <w:r>
        <w:t>5.</w:t>
      </w:r>
      <w:r w:rsidR="004D3671">
        <w:t>2</w:t>
      </w:r>
      <w:r>
        <w:t xml:space="preserve"> – PROLONGATION DES DELAIS D’EXECUTION DES PRESTATIONS</w:t>
      </w:r>
      <w:bookmarkEnd w:id="78"/>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48147A" w:rsidRDefault="0048147A" w:rsidP="0048147A">
      <w:pPr>
        <w:pStyle w:val="1NIV1"/>
      </w:pPr>
      <w:bookmarkStart w:id="79" w:name="_Toc60247530"/>
      <w:bookmarkStart w:id="80" w:name="_Toc64622204"/>
      <w:r>
        <w:t>5.3 – PENALITES</w:t>
      </w:r>
      <w:bookmarkEnd w:id="79"/>
      <w:bookmarkEnd w:id="80"/>
    </w:p>
    <w:p w:rsidR="0048147A" w:rsidRPr="007B74E4" w:rsidRDefault="0048147A" w:rsidP="0048147A">
      <w:bookmarkStart w:id="81" w:name="_Toc60247531"/>
      <w:r>
        <w:t>Les pénalités ne sont pas soumises à TGC.</w:t>
      </w:r>
    </w:p>
    <w:p w:rsidR="0048147A" w:rsidRDefault="0048147A" w:rsidP="0048147A">
      <w:pPr>
        <w:pStyle w:val="2NIV2"/>
      </w:pPr>
      <w:bookmarkStart w:id="82" w:name="_Toc64622205"/>
      <w:r>
        <w:t>5.3.1 – Non réponse à une consultation dans les délais</w:t>
      </w:r>
      <w:bookmarkEnd w:id="81"/>
      <w:bookmarkEnd w:id="82"/>
    </w:p>
    <w:sdt>
      <w:sdtPr>
        <w:id w:val="396562911"/>
      </w:sdtPr>
      <w:sdtEndPr/>
      <w:sdtContent>
        <w:p w:rsidR="0048147A" w:rsidRDefault="00F2448C" w:rsidP="0048147A">
          <w:pPr>
            <w:pStyle w:val="NormalX"/>
          </w:pPr>
          <w:sdt>
            <w:sdtPr>
              <w:id w:val="-1808772480"/>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Sans objet.</w:t>
          </w:r>
        </w:p>
      </w:sdtContent>
    </w:sdt>
    <w:sdt>
      <w:sdtPr>
        <w:id w:val="-777102258"/>
      </w:sdtPr>
      <w:sdtEndPr/>
      <w:sdtContent>
        <w:p w:rsidR="0048147A" w:rsidRDefault="00F2448C" w:rsidP="0048147A">
          <w:pPr>
            <w:pStyle w:val="NormalX"/>
          </w:pPr>
          <w:sdt>
            <w:sdtPr>
              <w:id w:val="1589117311"/>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Pour l’application de l’article 4.1 du présent CCAP, la pénalité journalière est de </w:t>
          </w:r>
          <w:r w:rsidR="0048147A" w:rsidRPr="008D4D8C">
            <w:rPr>
              <w:color w:val="0070C0"/>
            </w:rPr>
            <w:t xml:space="preserve">5.000 F </w:t>
          </w:r>
          <w:r w:rsidR="0048147A">
            <w:t>par jour de retard, à appliquer sur la prochaine facture quelle qu’elle soit, sans mise en demeure préalable.</w:t>
          </w:r>
        </w:p>
        <w:p w:rsidR="0048147A" w:rsidRDefault="0048147A" w:rsidP="0048147A">
          <w:r>
            <w:t>Si aucune facture n’est présentée jusqu’à la fin du marché, ce type de pénalité fait l’objet d’un ordre de recette.</w:t>
          </w:r>
        </w:p>
        <w:p w:rsidR="0048147A" w:rsidRDefault="0048147A" w:rsidP="0048147A">
          <w:r>
            <w:t>Pour chaque consultation, cette pénalité arrête de croître dès lors que la personne responsable du marché fait appel à un autre titulaire de marché ou à un prestataire tiers, et en tout état de cause, est plafonnée conformément à l’article 5.3.6 ci-après.</w:t>
          </w:r>
        </w:p>
      </w:sdtContent>
    </w:sdt>
    <w:p w:rsidR="0048147A" w:rsidRDefault="0048147A" w:rsidP="0048147A">
      <w:pPr>
        <w:pStyle w:val="2NIV2"/>
      </w:pPr>
      <w:bookmarkStart w:id="83" w:name="_Toc60247532"/>
      <w:bookmarkStart w:id="84" w:name="_Toc64622206"/>
      <w:r>
        <w:t>5.3.2 – Confirmation tardive</w:t>
      </w:r>
      <w:bookmarkEnd w:id="83"/>
      <w:bookmarkEnd w:id="84"/>
    </w:p>
    <w:p w:rsidR="00FC2000" w:rsidRDefault="00FC2000" w:rsidP="00FC2000">
      <w:bookmarkStart w:id="85" w:name="_Toc60247533"/>
      <w:r>
        <w:t>Sans objet.</w:t>
      </w:r>
    </w:p>
    <w:p w:rsidR="0048147A" w:rsidRDefault="0048147A" w:rsidP="0048147A">
      <w:pPr>
        <w:pStyle w:val="2NIV2"/>
      </w:pPr>
      <w:bookmarkStart w:id="86" w:name="_Toc64622207"/>
      <w:r>
        <w:t>5.3.3 – Retard d’exécution des prestations</w:t>
      </w:r>
      <w:bookmarkEnd w:id="85"/>
      <w:bookmarkEnd w:id="86"/>
    </w:p>
    <w:p w:rsidR="0048147A" w:rsidRDefault="0048147A" w:rsidP="0048147A">
      <w:r>
        <w:t xml:space="preserve">En cas de retard d’exécution des prestations du marché par rapport au délai contractuel global, le titulaire encourt, sans mise en demeure préalable, une pénalité égale à </w:t>
      </w:r>
      <w:r w:rsidRPr="007B74E4">
        <w:t>1/</w:t>
      </w:r>
      <w:r w:rsidRPr="00B5729D">
        <w:rPr>
          <w:color w:val="0070C0"/>
        </w:rPr>
        <w:t>3000</w:t>
      </w:r>
      <w:r w:rsidRPr="007B74E4">
        <w:t xml:space="preserve">è du montant </w:t>
      </w:r>
      <w:r>
        <w:t>initial des prestations</w:t>
      </w:r>
      <w:r w:rsidRPr="007B74E4">
        <w:t xml:space="preserve"> </w:t>
      </w:r>
      <w:r>
        <w:t>HT</w:t>
      </w:r>
      <w:r w:rsidRPr="007B74E4">
        <w:t xml:space="preserve"> par jour calendaire de retard.</w:t>
      </w:r>
    </w:p>
    <w:p w:rsidR="0048147A" w:rsidRDefault="0048147A" w:rsidP="0048147A">
      <w:pPr>
        <w:pStyle w:val="2NIV2"/>
      </w:pPr>
      <w:bookmarkStart w:id="87" w:name="_Toc60311995"/>
      <w:bookmarkStart w:id="88" w:name="_Toc64622208"/>
      <w:bookmarkStart w:id="89" w:name="_Toc60247536"/>
      <w:r>
        <w:t>5.3.4</w:t>
      </w:r>
      <w:r w:rsidRPr="007B74E4">
        <w:t xml:space="preserve"> – </w:t>
      </w:r>
      <w:r>
        <w:t>Délais particuliers</w:t>
      </w:r>
      <w:bookmarkEnd w:id="87"/>
      <w:bookmarkEnd w:id="88"/>
    </w:p>
    <w:sdt>
      <w:sdtPr>
        <w:id w:val="929858016"/>
      </w:sdtPr>
      <w:sdtEndPr/>
      <w:sdtContent>
        <w:p w:rsidR="0048147A" w:rsidRDefault="00F2448C" w:rsidP="0048147A">
          <w:pPr>
            <w:pStyle w:val="NormalX"/>
          </w:pPr>
          <w:sdt>
            <w:sdtPr>
              <w:id w:val="789019136"/>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Sans objet.</w:t>
          </w:r>
        </w:p>
      </w:sdtContent>
    </w:sdt>
    <w:sdt>
      <w:sdtPr>
        <w:id w:val="1268662869"/>
      </w:sdtPr>
      <w:sdtEndPr>
        <w:rPr>
          <w:color w:val="0070C0"/>
        </w:rPr>
      </w:sdtEndPr>
      <w:sdtContent>
        <w:p w:rsidR="0048147A" w:rsidRDefault="00F2448C" w:rsidP="0048147A">
          <w:pPr>
            <w:pStyle w:val="NormalX"/>
          </w:pPr>
          <w:sdt>
            <w:sdtPr>
              <w:id w:val="-1296138679"/>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Liste des délais particuliers et pénalités associées à appliquer sans mise en demeure préalable :</w:t>
          </w:r>
        </w:p>
        <w:p w:rsidR="0048147A" w:rsidRDefault="0048147A" w:rsidP="0048147A">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48147A" w:rsidRPr="00822DB7" w:rsidRDefault="0048147A" w:rsidP="0048147A">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48147A" w:rsidRPr="00822DB7" w:rsidRDefault="0048147A" w:rsidP="0048147A">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48147A" w:rsidRPr="007B74E4" w:rsidRDefault="0048147A" w:rsidP="0048147A">
      <w:pPr>
        <w:pStyle w:val="2NIV2"/>
      </w:pPr>
      <w:bookmarkStart w:id="90" w:name="_Toc64622209"/>
      <w:r>
        <w:t>5.3.5</w:t>
      </w:r>
      <w:r w:rsidRPr="007B74E4">
        <w:t xml:space="preserve"> – Autres pénalités</w:t>
      </w:r>
      <w:bookmarkEnd w:id="89"/>
      <w:bookmarkEnd w:id="90"/>
    </w:p>
    <w:sdt>
      <w:sdtPr>
        <w:id w:val="74561536"/>
      </w:sdtPr>
      <w:sdtEndPr/>
      <w:sdtContent>
        <w:p w:rsidR="0048147A" w:rsidRDefault="00F2448C" w:rsidP="0048147A">
          <w:pPr>
            <w:pStyle w:val="NormalX"/>
          </w:pPr>
          <w:sdt>
            <w:sdtPr>
              <w:id w:val="1456832026"/>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Sans objet.</w:t>
          </w:r>
        </w:p>
      </w:sdtContent>
    </w:sdt>
    <w:sdt>
      <w:sdtPr>
        <w:id w:val="1434322651"/>
      </w:sdtPr>
      <w:sdtEndPr/>
      <w:sdtContent>
        <w:p w:rsidR="0048147A" w:rsidRDefault="00F2448C" w:rsidP="0048147A">
          <w:pPr>
            <w:pStyle w:val="NormalX"/>
          </w:pPr>
          <w:sdt>
            <w:sdtPr>
              <w:id w:val="250394503"/>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w:t>
          </w:r>
          <w:r w:rsidR="0048147A" w:rsidRPr="007B74E4">
            <w:t xml:space="preserve">Pour tout délai précisé </w:t>
          </w:r>
          <w:r w:rsidR="0048147A">
            <w:t>conformément aux dispositions du</w:t>
          </w:r>
          <w:r w:rsidR="0048147A" w:rsidRPr="007B74E4">
            <w:t xml:space="preserve"> marché</w:t>
          </w:r>
          <w:r w:rsidR="0048147A">
            <w:t>,</w:t>
          </w:r>
          <w:r w:rsidR="0048147A" w:rsidRPr="007B74E4">
            <w:t xml:space="preserve"> autre que le</w:t>
          </w:r>
          <w:r w:rsidR="0048147A">
            <w:t>s délais de réponse à une consultation, de confirmation, ou encore d’exécution des prestations, ou encore les délais particuliers cités supra, l</w:t>
          </w:r>
          <w:r w:rsidR="0048147A" w:rsidRPr="007B74E4">
            <w:t xml:space="preserve">e retard entraîne l’application d’une pénalité de : </w:t>
          </w:r>
          <w:r w:rsidR="0048147A" w:rsidRPr="008D4D8C">
            <w:rPr>
              <w:color w:val="0070C0"/>
            </w:rPr>
            <w:t xml:space="preserve">10 000 </w:t>
          </w:r>
          <w:r w:rsidR="0048147A" w:rsidRPr="007B74E4">
            <w:t>FCFP par jour calendaire de retard</w:t>
          </w:r>
          <w:r w:rsidR="0048147A">
            <w:t>, sans mise en demeure préalable</w:t>
          </w:r>
          <w:r w:rsidR="0048147A" w:rsidRPr="007B74E4">
            <w:t>.</w:t>
          </w:r>
        </w:p>
      </w:sdtContent>
    </w:sdt>
    <w:p w:rsidR="0048147A" w:rsidRPr="007B74E4" w:rsidRDefault="0048147A" w:rsidP="0048147A">
      <w:pPr>
        <w:pStyle w:val="2NIV2"/>
      </w:pPr>
      <w:bookmarkStart w:id="91" w:name="_Toc60247537"/>
      <w:bookmarkStart w:id="92" w:name="_Toc64622210"/>
      <w:r>
        <w:t>5.3.6</w:t>
      </w:r>
      <w:r w:rsidRPr="007B74E4">
        <w:t xml:space="preserve"> – Plafonnement des pénalités</w:t>
      </w:r>
      <w:bookmarkEnd w:id="91"/>
      <w:bookmarkEnd w:id="92"/>
    </w:p>
    <w:sdt>
      <w:sdtPr>
        <w:id w:val="-385868121"/>
      </w:sdtPr>
      <w:sdtEndPr/>
      <w:sdtContent>
        <w:p w:rsidR="0048147A" w:rsidRDefault="00F2448C" w:rsidP="0048147A">
          <w:pPr>
            <w:pStyle w:val="NormalX"/>
          </w:pPr>
          <w:sdt>
            <w:sdtPr>
              <w:id w:val="79110212"/>
              <w14:checkbox>
                <w14:checked w14:val="0"/>
                <w14:checkedState w14:val="2612" w14:font="MS Gothic"/>
                <w14:uncheckedState w14:val="2610" w14:font="MS Gothic"/>
              </w14:checkbox>
            </w:sdtPr>
            <w:sdtEndPr/>
            <w:sdtContent>
              <w:r w:rsidR="0048147A" w:rsidRPr="001E1B5D">
                <w:rPr>
                  <w:rFonts w:ascii="MS Gothic" w:eastAsia="MS Gothic" w:hAnsi="MS Gothic" w:cs="MS Gothic" w:hint="eastAsia"/>
                </w:rPr>
                <w:t>☐</w:t>
              </w:r>
            </w:sdtContent>
          </w:sdt>
          <w:r w:rsidR="0048147A">
            <w:t xml:space="preserve"> Sans objet.</w:t>
          </w:r>
        </w:p>
      </w:sdtContent>
    </w:sdt>
    <w:sdt>
      <w:sdtPr>
        <w:id w:val="-1795354545"/>
      </w:sdtPr>
      <w:sdtEndPr/>
      <w:sdtContent>
        <w:p w:rsidR="0048147A" w:rsidRDefault="00F2448C" w:rsidP="0048147A">
          <w:pPr>
            <w:pStyle w:val="NormalX"/>
          </w:pPr>
          <w:sdt>
            <w:sdtPr>
              <w:id w:val="581950476"/>
              <w14:checkbox>
                <w14:checked w14:val="0"/>
                <w14:checkedState w14:val="2612" w14:font="MS Gothic"/>
                <w14:uncheckedState w14:val="2610" w14:font="MS Gothic"/>
              </w14:checkbox>
            </w:sdtPr>
            <w:sdtEndPr/>
            <w:sdtContent>
              <w:r w:rsidR="0048147A" w:rsidRPr="001E1B5D">
                <w:rPr>
                  <w:rFonts w:eastAsia="MS Gothic" w:hint="eastAsia"/>
                </w:rPr>
                <w:t>☐</w:t>
              </w:r>
            </w:sdtContent>
          </w:sdt>
          <w:r w:rsidR="0048147A" w:rsidRPr="001E1B5D">
            <w:t xml:space="preserve"> </w:t>
          </w:r>
          <w:r w:rsidR="0048147A">
            <w:t>Les pénalités</w:t>
          </w:r>
          <w:r w:rsidR="0048147A" w:rsidRPr="007B74E4">
            <w:t xml:space="preserve"> applicables </w:t>
          </w:r>
          <w:r w:rsidR="0048147A">
            <w:t xml:space="preserve">au retard de réponse à une consultation ou au retard de confirmation sont </w:t>
          </w:r>
          <w:r w:rsidR="0048147A" w:rsidRPr="007B74E4">
            <w:t>plafonnée</w:t>
          </w:r>
          <w:r w:rsidR="0048147A">
            <w:t>s</w:t>
          </w:r>
          <w:r w:rsidR="0048147A" w:rsidRPr="007B74E4">
            <w:t xml:space="preserve"> à </w:t>
          </w:r>
          <w:r w:rsidR="0048147A" w:rsidRPr="008D4D8C">
            <w:rPr>
              <w:color w:val="0070C0"/>
            </w:rPr>
            <w:t>25.000</w:t>
          </w:r>
          <w:r w:rsidR="0048147A" w:rsidRPr="008D4D8C">
            <w:t xml:space="preserve"> FCFP</w:t>
          </w:r>
          <w:r w:rsidR="0048147A" w:rsidRPr="008D4D8C">
            <w:rPr>
              <w:color w:val="0070C0"/>
            </w:rPr>
            <w:t xml:space="preserve"> </w:t>
          </w:r>
          <w:r w:rsidR="0048147A">
            <w:t>pour chaque instance.</w:t>
          </w:r>
        </w:p>
      </w:sdtContent>
    </w:sdt>
    <w:sdt>
      <w:sdtPr>
        <w:id w:val="2047636894"/>
      </w:sdtPr>
      <w:sdtEndPr/>
      <w:sdtContent>
        <w:p w:rsidR="0048147A" w:rsidRDefault="00F2448C" w:rsidP="0048147A">
          <w:pPr>
            <w:pStyle w:val="NormalX"/>
          </w:pPr>
          <w:sdt>
            <w:sdtPr>
              <w:id w:val="1110092180"/>
              <w14:checkbox>
                <w14:checked w14:val="0"/>
                <w14:checkedState w14:val="2612" w14:font="MS Gothic"/>
                <w14:uncheckedState w14:val="2610" w14:font="MS Gothic"/>
              </w14:checkbox>
            </w:sdtPr>
            <w:sdtEndPr/>
            <w:sdtContent>
              <w:r w:rsidR="0048147A" w:rsidRPr="001E1B5D">
                <w:rPr>
                  <w:rFonts w:eastAsia="MS Gothic" w:hint="eastAsia"/>
                </w:rPr>
                <w:t>☐</w:t>
              </w:r>
            </w:sdtContent>
          </w:sdt>
          <w:r w:rsidR="0048147A" w:rsidRPr="001E1B5D">
            <w:t xml:space="preserve"> </w:t>
          </w:r>
          <w:r w:rsidR="0048147A">
            <w:t>Les pénalités</w:t>
          </w:r>
          <w:r w:rsidR="0048147A" w:rsidRPr="007B74E4">
            <w:t xml:space="preserve"> applicables </w:t>
          </w:r>
          <w:r w:rsidR="0048147A">
            <w:t>au retard d’exécution des prestations sont</w:t>
          </w:r>
          <w:r w:rsidR="0048147A" w:rsidRPr="007B74E4">
            <w:t xml:space="preserve"> plafonnée</w:t>
          </w:r>
          <w:r w:rsidR="0048147A">
            <w:t>s</w:t>
          </w:r>
          <w:r w:rsidR="0048147A" w:rsidRPr="007B74E4">
            <w:t xml:space="preserve"> à :</w:t>
          </w:r>
        </w:p>
        <w:p w:rsidR="0048147A" w:rsidRDefault="0048147A" w:rsidP="0048147A">
          <w:pPr>
            <w:pStyle w:val="Listenormale"/>
          </w:pPr>
          <w:r w:rsidRPr="008D4D8C">
            <w:rPr>
              <w:color w:val="0070C0"/>
            </w:rPr>
            <w:t>10</w:t>
          </w:r>
          <w:r>
            <w:t xml:space="preserve"> % du montant HT </w:t>
          </w:r>
          <w:r w:rsidR="00740979">
            <w:t>du marché subséquent.</w:t>
          </w:r>
        </w:p>
      </w:sdtContent>
    </w:sdt>
    <w:sdt>
      <w:sdtPr>
        <w:id w:val="21373309"/>
      </w:sdtPr>
      <w:sdtEndPr/>
      <w:sdtContent>
        <w:p w:rsidR="0048147A" w:rsidRDefault="00F2448C" w:rsidP="0048147A">
          <w:pPr>
            <w:pStyle w:val="NormalX"/>
          </w:pPr>
          <w:sdt>
            <w:sdtPr>
              <w:id w:val="-596940804"/>
              <w14:checkbox>
                <w14:checked w14:val="0"/>
                <w14:checkedState w14:val="2612" w14:font="MS Gothic"/>
                <w14:uncheckedState w14:val="2610" w14:font="MS Gothic"/>
              </w14:checkbox>
            </w:sdtPr>
            <w:sdtEndPr/>
            <w:sdtContent>
              <w:r w:rsidR="0048147A">
                <w:rPr>
                  <w:rFonts w:ascii="MS Gothic" w:eastAsia="MS Gothic" w:hAnsi="MS Gothic" w:hint="eastAsia"/>
                </w:rPr>
                <w:t>☐</w:t>
              </w:r>
            </w:sdtContent>
          </w:sdt>
          <w:r w:rsidR="0048147A" w:rsidRPr="001E1B5D">
            <w:t xml:space="preserve"> </w:t>
          </w:r>
          <w:r w:rsidR="0048147A">
            <w:t>Les éventuelles pénalités</w:t>
          </w:r>
          <w:r w:rsidR="0048147A" w:rsidRPr="007B74E4">
            <w:t xml:space="preserve"> </w:t>
          </w:r>
          <w:r w:rsidR="0048147A">
            <w:t xml:space="preserve">autres ciblées aux articles 5.3.4 et 5.3.5 sont </w:t>
          </w:r>
          <w:r w:rsidR="0048147A" w:rsidRPr="007B74E4">
            <w:t>plafonnée</w:t>
          </w:r>
          <w:r w:rsidR="0048147A">
            <w:t>s</w:t>
          </w:r>
          <w:r w:rsidR="0048147A" w:rsidRPr="007B74E4">
            <w:t xml:space="preserve"> à </w:t>
          </w:r>
          <w:r w:rsidR="0048147A" w:rsidRPr="008D4D8C">
            <w:rPr>
              <w:color w:val="0070C0"/>
            </w:rPr>
            <w:t>50.000</w:t>
          </w:r>
          <w:r w:rsidR="0048147A" w:rsidRPr="008D4D8C">
            <w:t xml:space="preserve"> FCFP</w:t>
          </w:r>
          <w:r w:rsidR="0048147A" w:rsidRPr="008D4D8C">
            <w:rPr>
              <w:color w:val="0070C0"/>
            </w:rPr>
            <w:t xml:space="preserve"> </w:t>
          </w:r>
          <w:r w:rsidR="0048147A">
            <w:t>pour chaque instance de délai</w:t>
          </w:r>
          <w:r w:rsidR="00FC2000">
            <w:t xml:space="preserve"> ou d’évènement</w:t>
          </w:r>
          <w:r w:rsidR="0048147A">
            <w:t>.</w:t>
          </w:r>
        </w:p>
      </w:sdtContent>
    </w:sdt>
    <w:p w:rsidR="00196A76" w:rsidRPr="007B74E4" w:rsidRDefault="00196A76" w:rsidP="00196A76">
      <w:pPr>
        <w:pStyle w:val="2NIV2"/>
      </w:pPr>
      <w:bookmarkStart w:id="93" w:name="_Toc60247538"/>
      <w:bookmarkStart w:id="94" w:name="_Toc60655755"/>
      <w:bookmarkStart w:id="95" w:name="_Toc64622211"/>
      <w:r>
        <w:t>5.3.7</w:t>
      </w:r>
      <w:r w:rsidRPr="007B74E4">
        <w:t xml:space="preserve"> – </w:t>
      </w:r>
      <w:r>
        <w:t>Modalités en cas de groupement</w:t>
      </w:r>
      <w:bookmarkEnd w:id="93"/>
      <w:bookmarkEnd w:id="94"/>
      <w:bookmarkEnd w:id="95"/>
    </w:p>
    <w:p w:rsidR="00196A76" w:rsidRDefault="00196A76" w:rsidP="00196A76">
      <w:r>
        <w:t>En cas de groupement solidaire sans répartition de montant entre les cotraitants, c’est le mandataire, en tant que chargé de la coordination du groupement, qui assume toutes les pénalités applicables au titre du marché sur les sommes qui lui sont dues.</w:t>
      </w:r>
    </w:p>
    <w:p w:rsidR="00196A76" w:rsidRDefault="00196A76" w:rsidP="00196A76">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196A76" w:rsidRDefault="00196A76" w:rsidP="00196A76">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97A5D" w:rsidRDefault="00C97A5D" w:rsidP="00C97A5D">
      <w:pPr>
        <w:pStyle w:val="NormalX"/>
      </w:pPr>
    </w:p>
    <w:p w:rsidR="00C97A5D" w:rsidRDefault="00C97A5D">
      <w:pPr>
        <w:overflowPunct/>
        <w:autoSpaceDE/>
        <w:autoSpaceDN/>
        <w:adjustRightInd/>
        <w:spacing w:before="0" w:after="0"/>
        <w:ind w:left="0"/>
        <w:jc w:val="left"/>
        <w:textAlignment w:val="auto"/>
      </w:pPr>
    </w:p>
    <w:p w:rsidR="00DC2EF5" w:rsidRDefault="00DC2EF5">
      <w:pPr>
        <w:overflowPunct/>
        <w:autoSpaceDE/>
        <w:autoSpaceDN/>
        <w:adjustRightInd/>
        <w:spacing w:before="0" w:after="0"/>
        <w:ind w:left="0"/>
        <w:jc w:val="left"/>
        <w:textAlignment w:val="auto"/>
      </w:pPr>
      <w:r>
        <w:br w:type="page"/>
      </w:r>
    </w:p>
    <w:p w:rsidR="00D872DA" w:rsidRPr="00386F03" w:rsidRDefault="00D872DA" w:rsidP="00D872DA">
      <w:pPr>
        <w:pStyle w:val="0ENTETE"/>
      </w:pPr>
      <w:bookmarkStart w:id="96" w:name="_Toc59922208"/>
      <w:bookmarkStart w:id="97" w:name="_Toc64622212"/>
      <w:r w:rsidRPr="00386F03">
        <w:lastRenderedPageBreak/>
        <w:t xml:space="preserve">ARTICLE 6 -  </w:t>
      </w:r>
      <w:r>
        <w:t>VERIFICATION, ADMISSION, REFACTION</w:t>
      </w:r>
      <w:bookmarkEnd w:id="96"/>
      <w:bookmarkEnd w:id="97"/>
    </w:p>
    <w:p w:rsidR="00D872DA" w:rsidRDefault="00D872DA" w:rsidP="00D872DA">
      <w:r>
        <w:t>Le délai de vérification visé à l’article 20.3 du CCAG commence à la date Dm indiquée par le titulaire au référent du marché, de mise à disposition des livrables ou à la date de fin d’exécution des prestations, pour les opérations de vérification en vue des décisions d’admission, ajournement, réfaction ou rejet.</w:t>
      </w:r>
    </w:p>
    <w:p w:rsidR="00D872DA" w:rsidRDefault="00D872DA" w:rsidP="00D872DA">
      <w:r>
        <w:t>Ce délai est :</w:t>
      </w:r>
    </w:p>
    <w:sdt>
      <w:sdtPr>
        <w:id w:val="-2141634483"/>
      </w:sdtPr>
      <w:sdtEndPr/>
      <w:sdtContent>
        <w:p w:rsidR="00D872DA" w:rsidRDefault="00F2448C" w:rsidP="00D872DA">
          <w:sdt>
            <w:sdtPr>
              <w:id w:val="-275020333"/>
              <w14:checkbox>
                <w14:checked w14:val="0"/>
                <w14:checkedState w14:val="2612" w14:font="MS Gothic"/>
                <w14:uncheckedState w14:val="2610" w14:font="MS Gothic"/>
              </w14:checkbox>
            </w:sdtPr>
            <w:sdtEndPr/>
            <w:sdtContent>
              <w:r w:rsidR="00D872DA">
                <w:rPr>
                  <w:rFonts w:ascii="MS Gothic" w:eastAsia="MS Gothic" w:hAnsi="MS Gothic" w:hint="eastAsia"/>
                </w:rPr>
                <w:t>☐</w:t>
              </w:r>
            </w:sdtContent>
          </w:sdt>
          <w:r w:rsidR="00D872DA">
            <w:t xml:space="preserve"> </w:t>
          </w:r>
          <w:proofErr w:type="gramStart"/>
          <w:r w:rsidR="00D872DA">
            <w:t>d’</w:t>
          </w:r>
          <w:r w:rsidR="00D872DA" w:rsidRPr="001C4395">
            <w:rPr>
              <w:color w:val="0070C0"/>
            </w:rPr>
            <w:t>une</w:t>
          </w:r>
          <w:proofErr w:type="gramEnd"/>
          <w:r w:rsidR="00D872DA" w:rsidRPr="001C4395">
            <w:rPr>
              <w:color w:val="0070C0"/>
            </w:rPr>
            <w:t xml:space="preserve"> semaine</w:t>
          </w:r>
          <w:r w:rsidR="00D872DA">
            <w:t>.</w:t>
          </w:r>
        </w:p>
      </w:sdtContent>
    </w:sdt>
    <w:sdt>
      <w:sdtPr>
        <w:id w:val="1563762395"/>
      </w:sdtPr>
      <w:sdtEndPr>
        <w:rPr>
          <w:color w:val="0070C0"/>
        </w:rPr>
      </w:sdtEndPr>
      <w:sdtContent>
        <w:p w:rsidR="00D872DA" w:rsidRDefault="00F2448C" w:rsidP="00D872DA">
          <w:sdt>
            <w:sdtPr>
              <w:id w:val="271987384"/>
              <w14:checkbox>
                <w14:checked w14:val="0"/>
                <w14:checkedState w14:val="2612" w14:font="MS Gothic"/>
                <w14:uncheckedState w14:val="2610" w14:font="MS Gothic"/>
              </w14:checkbox>
            </w:sdtPr>
            <w:sdtEndPr/>
            <w:sdtContent>
              <w:r w:rsidR="00D872DA">
                <w:rPr>
                  <w:rFonts w:ascii="MS Gothic" w:eastAsia="MS Gothic" w:hAnsi="MS Gothic" w:hint="eastAsia"/>
                </w:rPr>
                <w:t>☐</w:t>
              </w:r>
            </w:sdtContent>
          </w:sdt>
          <w:r w:rsidR="00D872DA">
            <w:t xml:space="preserve"> </w:t>
          </w:r>
          <w:proofErr w:type="gramStart"/>
          <w:r w:rsidR="00D872DA">
            <w:t>précisé</w:t>
          </w:r>
          <w:proofErr w:type="gramEnd"/>
          <w:r w:rsidR="00D872DA">
            <w:t xml:space="preserve"> dans le tableau suivant, en fonction des prestations prévues au marché :</w:t>
          </w:r>
        </w:p>
        <w:tbl>
          <w:tblPr>
            <w:tblStyle w:val="Grilledutableau"/>
            <w:tblW w:w="8007" w:type="dxa"/>
            <w:tblInd w:w="1242" w:type="dxa"/>
            <w:tblLook w:val="04A0" w:firstRow="1" w:lastRow="0" w:firstColumn="1" w:lastColumn="0" w:noHBand="0" w:noVBand="1"/>
          </w:tblPr>
          <w:tblGrid>
            <w:gridCol w:w="5387"/>
            <w:gridCol w:w="2620"/>
          </w:tblGrid>
          <w:tr w:rsidR="00D872DA" w:rsidTr="005F3090">
            <w:tc>
              <w:tcPr>
                <w:tcW w:w="5387" w:type="dxa"/>
              </w:tcPr>
              <w:p w:rsidR="00D872DA" w:rsidRDefault="00D872DA" w:rsidP="005F3090">
                <w:pPr>
                  <w:ind w:left="0"/>
                  <w:jc w:val="center"/>
                </w:pPr>
                <w:r>
                  <w:t>Prestations</w:t>
                </w:r>
              </w:p>
            </w:tc>
            <w:tc>
              <w:tcPr>
                <w:tcW w:w="2620" w:type="dxa"/>
              </w:tcPr>
              <w:p w:rsidR="00D872DA" w:rsidRDefault="00D872DA" w:rsidP="005F3090">
                <w:pPr>
                  <w:ind w:left="0"/>
                  <w:jc w:val="center"/>
                </w:pPr>
                <w:r>
                  <w:t>Délai de vérification</w:t>
                </w:r>
              </w:p>
            </w:tc>
          </w:tr>
          <w:tr w:rsidR="00D872DA" w:rsidTr="005F3090">
            <w:tc>
              <w:tcPr>
                <w:tcW w:w="5387" w:type="dxa"/>
              </w:tcPr>
              <w:p w:rsidR="00D872DA" w:rsidRDefault="00D872DA" w:rsidP="005F3090">
                <w:pPr>
                  <w:ind w:left="0"/>
                </w:pPr>
              </w:p>
            </w:tc>
            <w:tc>
              <w:tcPr>
                <w:tcW w:w="2620" w:type="dxa"/>
              </w:tcPr>
              <w:p w:rsidR="00D872DA" w:rsidRPr="001C4395" w:rsidRDefault="00D872DA" w:rsidP="005F3090">
                <w:pPr>
                  <w:ind w:left="0"/>
                  <w:jc w:val="center"/>
                  <w:rPr>
                    <w:color w:val="0070C0"/>
                  </w:rPr>
                </w:pPr>
                <w:r w:rsidRPr="001C4395">
                  <w:rPr>
                    <w:color w:val="0070C0"/>
                  </w:rPr>
                  <w:t>4 semaines</w:t>
                </w:r>
              </w:p>
            </w:tc>
          </w:tr>
          <w:tr w:rsidR="00D872DA" w:rsidTr="005F3090">
            <w:tc>
              <w:tcPr>
                <w:tcW w:w="5387" w:type="dxa"/>
              </w:tcPr>
              <w:p w:rsidR="00D872DA" w:rsidRDefault="00D872DA" w:rsidP="005F3090">
                <w:pPr>
                  <w:ind w:left="0"/>
                </w:pPr>
              </w:p>
            </w:tc>
            <w:tc>
              <w:tcPr>
                <w:tcW w:w="2620" w:type="dxa"/>
              </w:tcPr>
              <w:p w:rsidR="00D872DA" w:rsidRPr="001C4395" w:rsidRDefault="00D872DA" w:rsidP="005F3090">
                <w:pPr>
                  <w:ind w:left="0"/>
                  <w:jc w:val="center"/>
                  <w:rPr>
                    <w:color w:val="0070C0"/>
                  </w:rPr>
                </w:pPr>
                <w:r>
                  <w:rPr>
                    <w:color w:val="0070C0"/>
                  </w:rPr>
                  <w:t>2</w:t>
                </w:r>
                <w:r w:rsidRPr="001C4395">
                  <w:rPr>
                    <w:color w:val="0070C0"/>
                  </w:rPr>
                  <w:t xml:space="preserve"> semaines</w:t>
                </w:r>
              </w:p>
            </w:tc>
          </w:tr>
        </w:tbl>
      </w:sdtContent>
    </w:sdt>
    <w:p w:rsidR="00DF76AC" w:rsidRPr="00DC2EF5" w:rsidRDefault="00DF76AC" w:rsidP="00DF76AC">
      <w:r>
        <w:t>Les prestations de service sont réputées conformes au cahier des charges après vérification et acceptation par la personne responsable du marché, soit de manière expresse dans le délai de vérification ci-dessus, soit de manière tacite après expiration dudit délai.</w:t>
      </w:r>
    </w:p>
    <w:p w:rsidR="00D872DA" w:rsidRDefault="00D872DA" w:rsidP="00D872DA">
      <w:r>
        <w:t>Le prestataire est à tout moment tenu de laisser le libre accès pour effectuer les constats et de mettre à disposition les documents nécessaires pour ces opérations de vérification.</w:t>
      </w:r>
    </w:p>
    <w:p w:rsidR="00D872DA" w:rsidRDefault="00D872DA" w:rsidP="00D872DA">
      <w:r>
        <w:t>En cas d’admission, la date d’exécution à considérer pour la vérification du respect des délais contractuels est cette date Dm.</w:t>
      </w:r>
    </w:p>
    <w:p w:rsidR="00D872DA" w:rsidRPr="00F517BF" w:rsidRDefault="00D872DA" w:rsidP="00D872DA">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98" w:name="_Toc64622213"/>
      <w:r w:rsidRPr="005F43A6">
        <w:lastRenderedPageBreak/>
        <w:t xml:space="preserve">ARTICLE </w:t>
      </w:r>
      <w:r>
        <w:t>7</w:t>
      </w:r>
      <w:r w:rsidRPr="005F43A6">
        <w:t xml:space="preserve"> – CONTENU ET CARACTERE DES PRIX</w:t>
      </w:r>
      <w:bookmarkEnd w:id="98"/>
    </w:p>
    <w:p w:rsidR="00386F03" w:rsidRPr="005F43A6" w:rsidRDefault="00386F03" w:rsidP="00386F03">
      <w:pPr>
        <w:pStyle w:val="1NIV1"/>
      </w:pPr>
      <w:bookmarkStart w:id="99" w:name="_Toc64622214"/>
      <w:r>
        <w:t>7.</w:t>
      </w:r>
      <w:r w:rsidRPr="005F43A6">
        <w:t>1 – CONTENU DES PRIX</w:t>
      </w:r>
      <w:bookmarkEnd w:id="99"/>
    </w:p>
    <w:p w:rsidR="00386F03" w:rsidRDefault="00386F03" w:rsidP="00386F03">
      <w:pPr>
        <w:pStyle w:val="2NIV2"/>
      </w:pPr>
      <w:bookmarkStart w:id="100" w:name="_Toc64622215"/>
      <w:r>
        <w:t>7.1.1 – Dispositions générales</w:t>
      </w:r>
      <w:bookmarkEnd w:id="100"/>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152B1C" w:rsidRDefault="00152B1C" w:rsidP="00152B1C">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r w:rsidR="002C77F8">
        <w:t xml:space="preserve"> Cette rectification a également lieu en cas de changement de statut du titulaire (franchisé à la passation du marché, non franchisé lors de l’exécution du marché).</w:t>
      </w:r>
    </w:p>
    <w:p w:rsidR="009E0B89" w:rsidRDefault="009E0B89" w:rsidP="009E0B89">
      <w:pPr>
        <w:pStyle w:val="2NIV2"/>
      </w:pPr>
      <w:bookmarkStart w:id="101" w:name="_Toc57703011"/>
      <w:bookmarkStart w:id="102" w:name="_Toc64622216"/>
      <w:r>
        <w:t>7.1.2 – Exonération de taxes</w:t>
      </w:r>
      <w:bookmarkEnd w:id="101"/>
      <w:bookmarkEnd w:id="102"/>
    </w:p>
    <w:sdt>
      <w:sdtPr>
        <w:id w:val="-1560853571"/>
      </w:sdtPr>
      <w:sdtEndPr/>
      <w:sdtContent>
        <w:p w:rsidR="009E0B89" w:rsidRDefault="00F2448C" w:rsidP="009E0B89">
          <w:pPr>
            <w:pStyle w:val="NormalX"/>
          </w:pPr>
          <w:sdt>
            <w:sdtPr>
              <w:id w:val="1956593632"/>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Sans objet.</w:t>
          </w:r>
        </w:p>
      </w:sdtContent>
    </w:sdt>
    <w:sdt>
      <w:sdtPr>
        <w:id w:val="2111705040"/>
      </w:sdtPr>
      <w:sdtEndPr/>
      <w:sdtContent>
        <w:p w:rsidR="009E0B89" w:rsidRDefault="00F2448C" w:rsidP="009E0B89">
          <w:pPr>
            <w:pStyle w:val="NormalX"/>
          </w:pPr>
          <w:sdt>
            <w:sdtPr>
              <w:id w:val="-733927199"/>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Certains prix sont exonérés de droits ou  taxes. Voir ci-après la liste des prix, ainsi que les droits / taxes et modalités correspondantes :</w:t>
          </w:r>
        </w:p>
        <w:p w:rsidR="009E0B89" w:rsidRDefault="009E0B89" w:rsidP="009E0B89">
          <w:pPr>
            <w:pStyle w:val="Listenormale"/>
          </w:pPr>
          <w:r>
            <w:t>…………………..</w:t>
          </w:r>
        </w:p>
        <w:p w:rsidR="009E0B89" w:rsidRDefault="009E0B89" w:rsidP="009E0B89">
          <w:pPr>
            <w:pStyle w:val="Listenormale"/>
          </w:pPr>
          <w:r>
            <w:t>…………………..</w:t>
          </w:r>
        </w:p>
      </w:sdtContent>
    </w:sdt>
    <w:p w:rsidR="0010575B" w:rsidRDefault="0010575B" w:rsidP="0010575B">
      <w:pPr>
        <w:pStyle w:val="2NIV2"/>
      </w:pPr>
      <w:bookmarkStart w:id="103" w:name="_Toc58942615"/>
      <w:bookmarkStart w:id="104" w:name="_Toc64622217"/>
      <w:r>
        <w:t>7.1.3 – Sujétions liées aux intempéries</w:t>
      </w:r>
      <w:bookmarkEnd w:id="103"/>
      <w:bookmarkEnd w:id="104"/>
    </w:p>
    <w:sdt>
      <w:sdtPr>
        <w:id w:val="1120108607"/>
      </w:sdtPr>
      <w:sdtEndPr/>
      <w:sdtContent>
        <w:p w:rsidR="0010575B" w:rsidRDefault="00F2448C" w:rsidP="0010575B">
          <w:pPr>
            <w:pStyle w:val="NormalX"/>
          </w:pPr>
          <w:sdt>
            <w:sdtPr>
              <w:id w:val="-772316404"/>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sdt>
      <w:sdtPr>
        <w:id w:val="-1221438653"/>
      </w:sdtPr>
      <w:sdtEndPr/>
      <w:sdtContent>
        <w:p w:rsidR="0010575B" w:rsidRPr="001E1B5D" w:rsidRDefault="00F2448C" w:rsidP="0010575B">
          <w:pPr>
            <w:pStyle w:val="NormalX"/>
          </w:pPr>
          <w:sdt>
            <w:sdtPr>
              <w:id w:val="217485630"/>
              <w14:checkbox>
                <w14:checked w14:val="0"/>
                <w14:checkedState w14:val="2612" w14:font="MS Gothic"/>
                <w14:uncheckedState w14:val="2610" w14:font="MS Gothic"/>
              </w14:checkbox>
            </w:sdtPr>
            <w:sdtEndPr/>
            <w:sdtContent>
              <w:r w:rsidR="0010575B" w:rsidRPr="001E1B5D">
                <w:rPr>
                  <w:rFonts w:eastAsia="MS Gothic" w:hint="eastAsia"/>
                </w:rPr>
                <w:t>☐</w:t>
              </w:r>
            </w:sdtContent>
          </w:sdt>
          <w:r w:rsidR="0010575B" w:rsidRPr="001E1B5D">
            <w:t xml:space="preserve"> Les prix sont établis en considérant comme normale</w:t>
          </w:r>
          <w:r w:rsidR="0010575B">
            <w:t>ment prévisibles les sujétions d’exécution relatives aux</w:t>
          </w:r>
          <w:r w:rsidR="0010575B" w:rsidRPr="001E1B5D">
            <w:t xml:space="preserve"> intempéries et autres phénomènes naturels indiqués ci-après lorsqu'ils n'atteignent pas les intensités limites ci-après mesurées par le service météorologique de la Nouvelle Calédonie :</w:t>
          </w:r>
        </w:p>
        <w:sdt>
          <w:sdtPr>
            <w:id w:val="-662543373"/>
          </w:sdtPr>
          <w:sdtEndPr/>
          <w:sdtContent>
            <w:p w:rsidR="0010575B" w:rsidRDefault="00F2448C" w:rsidP="0010575B">
              <w:pPr>
                <w:pStyle w:val="ListeX"/>
                <w:ind w:left="1985" w:hanging="644"/>
              </w:pPr>
              <w:sdt>
                <w:sdtPr>
                  <w:id w:val="158050838"/>
                  <w14:checkbox>
                    <w14:checked w14:val="0"/>
                    <w14:checkedState w14:val="2612" w14:font="MS Gothic"/>
                    <w14:uncheckedState w14:val="2610" w14:font="MS Gothic"/>
                  </w14:checkbox>
                </w:sdtPr>
                <w:sdtEndPr/>
                <w:sdtContent>
                  <w:r w:rsidR="0010575B">
                    <w:rPr>
                      <w:rFonts w:ascii="MS Gothic" w:eastAsia="MS Gothic" w:hAnsi="MS Gothic" w:hint="eastAsia"/>
                    </w:rPr>
                    <w:t>☐</w:t>
                  </w:r>
                </w:sdtContent>
              </w:sdt>
              <w:r w:rsidR="0010575B" w:rsidRPr="001E1B5D">
                <w:t xml:space="preserve"> </w:t>
              </w:r>
              <w:r w:rsidR="0010575B">
                <w:t>PLUIE – intensité limite : 200 mm / 24 heures</w:t>
              </w:r>
            </w:p>
          </w:sdtContent>
        </w:sdt>
        <w:sdt>
          <w:sdtPr>
            <w:id w:val="1861093373"/>
          </w:sdtPr>
          <w:sdtEndPr/>
          <w:sdtContent>
            <w:p w:rsidR="0010575B" w:rsidRDefault="00F2448C" w:rsidP="0010575B">
              <w:pPr>
                <w:pStyle w:val="ListeX"/>
                <w:ind w:left="1985" w:hanging="644"/>
              </w:pPr>
              <w:sdt>
                <w:sdtPr>
                  <w:id w:val="1680769493"/>
                  <w14:checkbox>
                    <w14:checked w14:val="0"/>
                    <w14:checkedState w14:val="2612" w14:font="MS Gothic"/>
                    <w14:uncheckedState w14:val="2610" w14:font="MS Gothic"/>
                  </w14:checkbox>
                </w:sdtPr>
                <w:sdtEndPr/>
                <w:sdtContent>
                  <w:r w:rsidR="0010575B" w:rsidRPr="001E1B5D">
                    <w:rPr>
                      <w:rFonts w:eastAsia="MS Gothic" w:hint="eastAsia"/>
                    </w:rPr>
                    <w:t>☐</w:t>
                  </w:r>
                </w:sdtContent>
              </w:sdt>
              <w:r w:rsidR="0010575B" w:rsidRPr="001E1B5D">
                <w:t xml:space="preserve"> </w:t>
              </w:r>
              <w:r w:rsidR="0010575B">
                <w:t>VENT – intensité limite : 200 km/heure</w:t>
              </w:r>
            </w:p>
          </w:sdtContent>
        </w:sdt>
        <w:sdt>
          <w:sdtPr>
            <w:id w:val="1413898004"/>
          </w:sdtPr>
          <w:sdtEndPr/>
          <w:sdtContent>
            <w:p w:rsidR="0010575B" w:rsidRDefault="00F2448C" w:rsidP="0010575B">
              <w:pPr>
                <w:pStyle w:val="ListeX"/>
                <w:ind w:left="1985" w:hanging="644"/>
              </w:pPr>
              <w:sdt>
                <w:sdtPr>
                  <w:id w:val="324942226"/>
                  <w14:checkbox>
                    <w14:checked w14:val="0"/>
                    <w14:checkedState w14:val="2612" w14:font="MS Gothic"/>
                    <w14:uncheckedState w14:val="2610" w14:font="MS Gothic"/>
                  </w14:checkbox>
                </w:sdtPr>
                <w:sdtEndPr/>
                <w:sdtContent>
                  <w:r w:rsidR="0010575B" w:rsidRPr="001E1B5D">
                    <w:rPr>
                      <w:rFonts w:eastAsia="MS Gothic" w:hint="eastAsia"/>
                    </w:rPr>
                    <w:t>☐</w:t>
                  </w:r>
                </w:sdtContent>
              </w:sdt>
              <w:r w:rsidR="0010575B" w:rsidRPr="001E1B5D">
                <w:t xml:space="preserve"> </w:t>
              </w:r>
              <w:r w:rsidR="0010575B">
                <w:t>VITESSE DU COURANT – intensité limite : 4 mètres / seconde</w:t>
              </w:r>
            </w:p>
          </w:sdtContent>
        </w:sdt>
        <w:p w:rsidR="0010575B" w:rsidRDefault="0010575B" w:rsidP="0010575B">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10575B" w:rsidRDefault="0010575B" w:rsidP="0010575B">
      <w:pPr>
        <w:pStyle w:val="2NIV2"/>
      </w:pPr>
      <w:bookmarkStart w:id="105" w:name="_Toc59924092"/>
      <w:bookmarkStart w:id="106" w:name="_Toc64622218"/>
      <w:r>
        <w:t>7.1.4 – Exécution simultanée ou imbriquée de prestations effectuées par d’autres prestataires</w:t>
      </w:r>
      <w:bookmarkEnd w:id="105"/>
      <w:bookmarkEnd w:id="106"/>
    </w:p>
    <w:sdt>
      <w:sdtPr>
        <w:id w:val="-2025861369"/>
      </w:sdtPr>
      <w:sdtEndPr/>
      <w:sdtContent>
        <w:p w:rsidR="0010575B" w:rsidRDefault="00F2448C" w:rsidP="0010575B">
          <w:pPr>
            <w:pStyle w:val="NormalX"/>
          </w:pPr>
          <w:sdt>
            <w:sdtPr>
              <w:id w:val="1177148362"/>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sdt>
      <w:sdtPr>
        <w:id w:val="1071392488"/>
      </w:sdtPr>
      <w:sdtEndPr/>
      <w:sdtContent>
        <w:p w:rsidR="0010575B" w:rsidRDefault="00F2448C" w:rsidP="0010575B">
          <w:pPr>
            <w:pStyle w:val="NormalX"/>
          </w:pPr>
          <w:sdt>
            <w:sdtPr>
              <w:id w:val="847902619"/>
              <w14:checkbox>
                <w14:checked w14:val="0"/>
                <w14:checkedState w14:val="2612" w14:font="MS Gothic"/>
                <w14:uncheckedState w14:val="2610" w14:font="MS Gothic"/>
              </w14:checkbox>
            </w:sdtPr>
            <w:sdtEndPr/>
            <w:sdtContent>
              <w:r w:rsidR="0010575B">
                <w:rPr>
                  <w:rFonts w:ascii="MS Gothic" w:eastAsia="MS Gothic" w:hAnsi="MS Gothic" w:hint="eastAsia"/>
                </w:rPr>
                <w:t>☐</w:t>
              </w:r>
            </w:sdtContent>
          </w:sdt>
          <w:r w:rsidR="0010575B" w:rsidRPr="001E1B5D">
            <w:t xml:space="preserve"> Les prix sont établis en considérant </w:t>
          </w:r>
          <w:r w:rsidR="0010575B">
            <w:t>que le titulaire tient compte des sujétions relatives aux prestations exécutées simultanément ou de manière imbriquée par d’autres prestataires, dans la limite des données incluses dans le présent marché ou communiquées par la personne responsable du marché.</w:t>
          </w:r>
        </w:p>
        <w:p w:rsidR="0010575B" w:rsidRDefault="0010575B" w:rsidP="0010575B">
          <w:r>
            <w:t>Dès qu’une information lui est communiquée à ce sujet, il lui appartient de se mettre en rapport avec ces prestataires pour garantir une bonne exécution de ses propres prestations.</w:t>
          </w:r>
        </w:p>
        <w:p w:rsidR="0010575B" w:rsidRDefault="0010575B" w:rsidP="0010575B">
          <w:r>
            <w:t>Dès qu’un incident relatif à leurs prestations a un impact sur ses propres prestations, en termes de coût ou de délai, le titulaire est tenu d’en informer la personne responsable du marché dans le délai de 10 jours suivant la survenue de l’incident, sous peine de forclusion.</w:t>
          </w:r>
        </w:p>
      </w:sdtContent>
    </w:sdt>
    <w:p w:rsidR="0010575B" w:rsidRDefault="0010575B" w:rsidP="0010575B">
      <w:pPr>
        <w:pStyle w:val="2NIV2"/>
      </w:pPr>
      <w:bookmarkStart w:id="107" w:name="_Toc59924093"/>
      <w:bookmarkStart w:id="108" w:name="_Toc64622219"/>
      <w:r>
        <w:t>7.1.5 – Sujétions exclues des prix du marché</w:t>
      </w:r>
      <w:bookmarkEnd w:id="107"/>
      <w:bookmarkEnd w:id="108"/>
    </w:p>
    <w:sdt>
      <w:sdtPr>
        <w:id w:val="-425198694"/>
      </w:sdtPr>
      <w:sdtEndPr/>
      <w:sdtContent>
        <w:p w:rsidR="0010575B" w:rsidRDefault="00F2448C" w:rsidP="0010575B">
          <w:pPr>
            <w:pStyle w:val="NormalX"/>
          </w:pPr>
          <w:sdt>
            <w:sdtPr>
              <w:id w:val="1943565516"/>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bookmarkStart w:id="109" w:name="_Toc59924094" w:displacedByCustomXml="next"/>
    <w:sdt>
      <w:sdtPr>
        <w:id w:val="923999768"/>
      </w:sdtPr>
      <w:sdtEndPr/>
      <w:sdtContent>
        <w:p w:rsidR="00DF76AC" w:rsidRDefault="00F2448C" w:rsidP="00DF76AC">
          <w:pPr>
            <w:pStyle w:val="NormalX"/>
          </w:pPr>
          <w:sdt>
            <w:sdtPr>
              <w:id w:val="-1829979543"/>
              <w14:checkbox>
                <w14:checked w14:val="0"/>
                <w14:checkedState w14:val="2612" w14:font="MS Gothic"/>
                <w14:uncheckedState w14:val="2610" w14:font="MS Gothic"/>
              </w14:checkbox>
            </w:sdtPr>
            <w:sdtEndPr/>
            <w:sdtContent>
              <w:r w:rsidR="00DF76AC" w:rsidRPr="001E1B5D">
                <w:rPr>
                  <w:rFonts w:eastAsia="MS Gothic" w:hint="eastAsia"/>
                </w:rPr>
                <w:t>☐</w:t>
              </w:r>
            </w:sdtContent>
          </w:sdt>
          <w:r w:rsidR="00DF76AC" w:rsidRPr="001E1B5D">
            <w:t xml:space="preserve"> </w:t>
          </w:r>
          <w:r w:rsidR="00DF76AC">
            <w:t>Les prestations seront exécutées conformément aux directives des autorités de santé concernant les mesures de lutte contre la propagation des maladies contagieuses (exemple : COVID-19) en vigueur à la date de remise de l’offre.</w:t>
          </w:r>
        </w:p>
        <w:p w:rsidR="00DF76AC" w:rsidRDefault="00DF76AC" w:rsidP="00DF76AC">
          <w:r>
            <w:t>Toute modification de ces directives ayant un impact sur le coût des prestations pourra faire l’objet d’une modification des prix du marché sur la base de justificatifs chiffrés, par voie d’avenant.</w:t>
          </w:r>
        </w:p>
        <w:p w:rsidR="00DF76AC" w:rsidRDefault="00DF76AC" w:rsidP="00DF76AC">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10575B" w:rsidRDefault="0010575B" w:rsidP="0010575B">
      <w:pPr>
        <w:pStyle w:val="2NIV2"/>
      </w:pPr>
      <w:bookmarkStart w:id="110" w:name="_Toc64622220"/>
      <w:r>
        <w:t>7.1.6 – Fourniture de sous-détails de prix</w:t>
      </w:r>
      <w:bookmarkEnd w:id="110"/>
      <w:bookmarkEnd w:id="109"/>
    </w:p>
    <w:p w:rsidR="0010575B" w:rsidRDefault="0010575B" w:rsidP="0010575B">
      <w:r>
        <w:t>La personne responsable du marché ou le maître d’œuvre peut à tout moment demander au titulaire de fournir le sous-détail d’un prix unitaire ou forfaitaire, comprenant notamment :</w:t>
      </w:r>
    </w:p>
    <w:p w:rsidR="0010575B" w:rsidRDefault="0010575B" w:rsidP="0010575B">
      <w:pPr>
        <w:pStyle w:val="Listenormale"/>
      </w:pPr>
      <w:r>
        <w:t>les quantités et le prix d’unité de chaque nature de matière, matériau ou composant ;</w:t>
      </w:r>
    </w:p>
    <w:p w:rsidR="0010575B" w:rsidRDefault="0010575B" w:rsidP="0010575B">
      <w:pPr>
        <w:pStyle w:val="Listenormale"/>
      </w:pPr>
      <w:r>
        <w:t>les quantités d’œuvre ou d’heures et le prix de la main d’œuvre correspondante ;</w:t>
      </w:r>
    </w:p>
    <w:p w:rsidR="0010575B" w:rsidRDefault="0010575B" w:rsidP="0010575B">
      <w:pPr>
        <w:pStyle w:val="Listenormale"/>
      </w:pPr>
      <w:r>
        <w:t>les marges relatives aux frais généraux et leur décomposition ;</w:t>
      </w:r>
    </w:p>
    <w:p w:rsidR="0010575B" w:rsidRDefault="0010575B" w:rsidP="0010575B">
      <w:pPr>
        <w:pStyle w:val="Listenormale"/>
      </w:pPr>
      <w:r>
        <w:t>les marges relatives aux risques et bénéfices.</w:t>
      </w:r>
    </w:p>
    <w:p w:rsidR="0010575B" w:rsidRDefault="0010575B" w:rsidP="0010575B">
      <w:r>
        <w:t>Le titulaire devra le lui fournir dans le délai imparti qui sera au minimum de 7 jours à compter de la notification de la demande.</w:t>
      </w:r>
    </w:p>
    <w:p w:rsidR="0010575B" w:rsidRDefault="0010575B" w:rsidP="0010575B">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111" w:name="_Toc64622221"/>
      <w:r>
        <w:t>7.2 – CARACTERE DES PRIX</w:t>
      </w:r>
      <w:bookmarkEnd w:id="111"/>
    </w:p>
    <w:p w:rsidR="00386F03" w:rsidRDefault="00386F03" w:rsidP="00386F03">
      <w:pPr>
        <w:pStyle w:val="2NIV2"/>
      </w:pPr>
      <w:bookmarkStart w:id="112" w:name="_Toc64622222"/>
      <w:r>
        <w:t>7.2.1 – Prestations réglées au forfait</w:t>
      </w:r>
      <w:bookmarkEnd w:id="112"/>
    </w:p>
    <w:sdt>
      <w:sdtPr>
        <w:id w:val="1028518500"/>
      </w:sdtPr>
      <w:sdtEndPr/>
      <w:sdtContent>
        <w:p w:rsidR="00386F03" w:rsidRDefault="00F2448C" w:rsidP="00386F03">
          <w:pPr>
            <w:pStyle w:val="NormalX"/>
          </w:pPr>
          <w:sdt>
            <w:sdtPr>
              <w:id w:val="-2099404287"/>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sdtContent>
    </w:sdt>
    <w:sdt>
      <w:sdtPr>
        <w:id w:val="-1708559667"/>
      </w:sdtPr>
      <w:sdtEndPr/>
      <w:sdtContent>
        <w:p w:rsidR="00386F03" w:rsidRDefault="00F2448C" w:rsidP="00386F03">
          <w:pPr>
            <w:pStyle w:val="NormalX"/>
          </w:pPr>
          <w:sdt>
            <w:sdtPr>
              <w:id w:val="1467629924"/>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Les prestations faisant l’objet du marché</w:t>
          </w:r>
          <w:r w:rsidR="00685364">
            <w:t xml:space="preserve"> subséquent</w:t>
          </w:r>
          <w:r w:rsidR="00386F03">
            <w:t xml:space="preserve"> sont réglées par un prix global forfaitaire précisé à l’acte d’engagement.</w:t>
          </w:r>
        </w:p>
      </w:sdtContent>
    </w:sdt>
    <w:sdt>
      <w:sdtPr>
        <w:id w:val="-1161611234"/>
      </w:sdtPr>
      <w:sdtEndPr/>
      <w:sdtContent>
        <w:p w:rsidR="00685364" w:rsidRDefault="00F2448C" w:rsidP="00685364">
          <w:pPr>
            <w:pStyle w:val="NormalX"/>
          </w:pPr>
          <w:sdt>
            <w:sdtPr>
              <w:id w:val="1392074380"/>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Certaines prestations du marché</w:t>
          </w:r>
          <w:r w:rsidR="00685364">
            <w:t xml:space="preserve"> subséquent</w:t>
          </w:r>
          <w:r w:rsidR="00386F03">
            <w:t xml:space="preserve"> sont réglées par des prix forfaitaires </w:t>
          </w:r>
          <w:r w:rsidR="00685364">
            <w:t>précisés dans l’acte d’engagement.</w:t>
          </w:r>
        </w:p>
      </w:sdtContent>
    </w:sdt>
    <w:p w:rsidR="00386F03" w:rsidRDefault="00386F03" w:rsidP="00386F03">
      <w:pPr>
        <w:pStyle w:val="2NIV2"/>
      </w:pPr>
      <w:bookmarkStart w:id="113" w:name="_Toc64622223"/>
      <w:r>
        <w:t>7.2.2 – Prestations réglées sur prix unitaires</w:t>
      </w:r>
      <w:bookmarkEnd w:id="113"/>
    </w:p>
    <w:sdt>
      <w:sdtPr>
        <w:id w:val="1341117163"/>
      </w:sdtPr>
      <w:sdtEndPr/>
      <w:sdtContent>
        <w:p w:rsidR="00386F03" w:rsidRDefault="00F2448C" w:rsidP="00386F03">
          <w:pPr>
            <w:pStyle w:val="NormalX"/>
          </w:pPr>
          <w:sdt>
            <w:sdtPr>
              <w:id w:val="407198474"/>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302046081"/>
      </w:sdtPr>
      <w:sdtEndPr/>
      <w:sdtContent>
        <w:p w:rsidR="00386F03" w:rsidRDefault="00F2448C" w:rsidP="00386F03">
          <w:pPr>
            <w:pStyle w:val="NormalX"/>
          </w:pPr>
          <w:sdt>
            <w:sdtPr>
              <w:id w:val="-665473547"/>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 xml:space="preserve">Les prestations faisant l’objet du marché </w:t>
          </w:r>
          <w:r w:rsidR="00685364">
            <w:t xml:space="preserve">subséquent </w:t>
          </w:r>
          <w:r w:rsidR="00386F03">
            <w:t>sont réglées par application des prix unitaires précisés dans le bordereau des prix unitaires ou à défaut dans l’acte d’engagement, aux quantités réellement exécutées.</w:t>
          </w:r>
        </w:p>
      </w:sdtContent>
    </w:sdt>
    <w:sdt>
      <w:sdtPr>
        <w:id w:val="-893274976"/>
      </w:sdtPr>
      <w:sdtEndPr/>
      <w:sdtContent>
        <w:p w:rsidR="00386F03" w:rsidRDefault="00F2448C" w:rsidP="00F221AD">
          <w:pPr>
            <w:pStyle w:val="NormalX"/>
          </w:pPr>
          <w:sdt>
            <w:sdtPr>
              <w:id w:val="-650139923"/>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 xml:space="preserve">Certaines prestations du marché </w:t>
          </w:r>
          <w:r w:rsidR="00F221AD">
            <w:t xml:space="preserve">subséquent </w:t>
          </w:r>
          <w:r w:rsidR="00386F03">
            <w:t>sont réglées par application des prix unitaires aux quantités réellement exécutées</w:t>
          </w:r>
          <w:r w:rsidR="00F221AD">
            <w:t xml:space="preserve"> précisés dans le bordereau des prix unitaires ou à défaut dans l’acte d’engagement, aux quantités réellement exécutées.</w:t>
          </w:r>
        </w:p>
      </w:sdtContent>
    </w:sdt>
    <w:p w:rsidR="00386F03" w:rsidRDefault="00386F03" w:rsidP="00386F03">
      <w:pPr>
        <w:pStyle w:val="2NIV2"/>
      </w:pPr>
      <w:bookmarkStart w:id="114" w:name="_Toc64622224"/>
      <w:r>
        <w:t>7.2.3 – Caractère provisoire ou définitif</w:t>
      </w:r>
      <w:bookmarkEnd w:id="114"/>
    </w:p>
    <w:p w:rsidR="00386F03" w:rsidRDefault="00386F03" w:rsidP="00386F03">
      <w:r>
        <w:t>Les prix du marché sont des prix définitifs.</w:t>
      </w:r>
    </w:p>
    <w:p w:rsidR="00386F03" w:rsidRDefault="00386F03" w:rsidP="00386F03">
      <w:pPr>
        <w:pStyle w:val="2NIV2"/>
      </w:pPr>
      <w:bookmarkStart w:id="115" w:name="_Toc64622225"/>
      <w:r>
        <w:t>7.2.4 – Variation des prix</w:t>
      </w:r>
      <w:bookmarkEnd w:id="115"/>
    </w:p>
    <w:p w:rsidR="00386F03" w:rsidRDefault="00386F03" w:rsidP="00386F03">
      <w:r>
        <w:t xml:space="preserve">Les prix du marché </w:t>
      </w:r>
      <w:r w:rsidR="00F221AD">
        <w:t xml:space="preserve">subséquent </w:t>
      </w:r>
      <w:r>
        <w:t>sont :</w:t>
      </w:r>
    </w:p>
    <w:p w:rsidR="00386F03" w:rsidRDefault="00802BB1" w:rsidP="00802BB1">
      <w:pPr>
        <w:pStyle w:val="NormalX"/>
      </w:pPr>
      <w:r>
        <w:t xml:space="preserve">Fermes lorsque la </w:t>
      </w:r>
      <w:r w:rsidR="00386F03">
        <w:t>durée d’exécution du marché</w:t>
      </w:r>
      <w:r>
        <w:t xml:space="preserve"> subséquent est</w:t>
      </w:r>
      <w:r w:rsidR="00386F03">
        <w:t xml:space="preserve">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p w:rsidR="00D50228" w:rsidRDefault="00386F03" w:rsidP="00D50228">
      <w:pPr>
        <w:pStyle w:val="NormalX"/>
      </w:pPr>
      <w:r>
        <w:t xml:space="preserve">Révisables </w:t>
      </w:r>
      <w:r w:rsidR="00802BB1">
        <w:t xml:space="preserve">lorsque la </w:t>
      </w:r>
      <w:r>
        <w:t xml:space="preserve">durée d’exécution du marché </w:t>
      </w:r>
      <w:r w:rsidR="00802BB1">
        <w:t xml:space="preserve">subséquent est </w:t>
      </w:r>
      <w:r>
        <w:t>supérieure ou égale à 6 mois</w:t>
      </w:r>
      <w:r w:rsidR="00D50228">
        <w:t>.</w:t>
      </w:r>
    </w:p>
    <w:p w:rsidR="00D50228" w:rsidRDefault="00D50228" w:rsidP="00D50228">
      <w:r>
        <w:t>Chaque acompte fait l’objet d’une révision aux conditions économiques correspondant à la date d’arrêt des prestations exécutées donnant lieu à l’acompte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16" w:name="_Toc64622226"/>
      <w:r>
        <w:lastRenderedPageBreak/>
        <w:t xml:space="preserve">ARTICLE </w:t>
      </w:r>
      <w:r w:rsidR="00386F03">
        <w:t>8</w:t>
      </w:r>
      <w:r>
        <w:t xml:space="preserve"> </w:t>
      </w:r>
      <w:r w:rsidRPr="005F43A6">
        <w:t xml:space="preserve">– </w:t>
      </w:r>
      <w:r w:rsidR="00462A40">
        <w:t xml:space="preserve">MARCHE SUBSEQUENT : </w:t>
      </w:r>
      <w:r w:rsidRPr="005F43A6">
        <w:t>DETERMINATION DU PRIX DE REGLEMENT – VARIATION DES PRIX</w:t>
      </w:r>
      <w:r>
        <w:t xml:space="preserve"> – APPROVISIONNEMENTS </w:t>
      </w:r>
      <w:r w:rsidR="004C6EE4">
        <w:t>–</w:t>
      </w:r>
      <w:r>
        <w:t xml:space="preserve"> AVANCES</w:t>
      </w:r>
      <w:r w:rsidR="004C6EE4">
        <w:t xml:space="preserve"> – AUTO-LIQUIDATION TGC</w:t>
      </w:r>
      <w:bookmarkEnd w:id="116"/>
    </w:p>
    <w:p w:rsidR="00C42A59" w:rsidRDefault="00386F03" w:rsidP="005F43A6">
      <w:pPr>
        <w:pStyle w:val="1NIV1"/>
      </w:pPr>
      <w:bookmarkStart w:id="117" w:name="_Toc64622227"/>
      <w:bookmarkStart w:id="118" w:name="_Toc47349734"/>
      <w:bookmarkStart w:id="119" w:name="_Toc47515535"/>
      <w:r>
        <w:t>8.</w:t>
      </w:r>
      <w:r w:rsidR="00C8080F">
        <w:t>1</w:t>
      </w:r>
      <w:r w:rsidR="00C42A59">
        <w:t xml:space="preserve"> – DETERMINATION DU PRIX DE REGLEMENT</w:t>
      </w:r>
      <w:bookmarkEnd w:id="117"/>
    </w:p>
    <w:p w:rsidR="0038255E" w:rsidRDefault="00386F03" w:rsidP="0038255E">
      <w:pPr>
        <w:pStyle w:val="2NIV2"/>
      </w:pPr>
      <w:bookmarkStart w:id="120" w:name="_Toc64622228"/>
      <w:r>
        <w:t>8.</w:t>
      </w:r>
      <w:r w:rsidR="00856A0D">
        <w:t>1</w:t>
      </w:r>
      <w:r w:rsidR="0038255E">
        <w:t>.1 – Prix de base</w:t>
      </w:r>
      <w:bookmarkEnd w:id="120"/>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9E0B89" w:rsidRDefault="009E0B89" w:rsidP="009E0B89">
      <w:r>
        <w:t xml:space="preserve">Pour les prestations à prix forfaitaires, </w:t>
      </w:r>
      <w:r w:rsidR="00C97A5D">
        <w:t xml:space="preserve">en effectuant </w:t>
      </w:r>
      <w:r>
        <w:t>une appréciation de l’avancement d’exécution, soit par application d’un pourcentage à ces prix forfaitaires, soit par indication de la valeur estimée des prestations exécutées.</w:t>
      </w:r>
    </w:p>
    <w:p w:rsidR="009E0B89" w:rsidRDefault="009E0B89" w:rsidP="009E0B89">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121" w:name="_Toc64622229"/>
      <w:r>
        <w:t>8.</w:t>
      </w:r>
      <w:r w:rsidR="00856A0D">
        <w:t xml:space="preserve">1.2 – </w:t>
      </w:r>
      <w:r w:rsidR="00A12F00">
        <w:t>Modalités de</w:t>
      </w:r>
      <w:r w:rsidR="006E2DF0">
        <w:t xml:space="preserve"> règlement</w:t>
      </w:r>
      <w:bookmarkEnd w:id="121"/>
    </w:p>
    <w:p w:rsidR="00B868F4" w:rsidRDefault="00B868F4" w:rsidP="00B868F4">
      <w:pPr>
        <w:pStyle w:val="3NIV3"/>
      </w:pPr>
      <w:bookmarkStart w:id="122" w:name="_Toc64622230"/>
      <w:bookmarkStart w:id="123" w:name="_Toc60061332"/>
      <w:r>
        <w:t>8.1.2.1 – Décomptes et acomptes rattachés à l’ensemble du marché subséquent</w:t>
      </w:r>
      <w:bookmarkEnd w:id="122"/>
      <w:r>
        <w:t xml:space="preserve"> </w:t>
      </w:r>
      <w:bookmarkEnd w:id="123"/>
    </w:p>
    <w:p w:rsidR="00B868F4" w:rsidRDefault="00B868F4" w:rsidP="00B868F4">
      <w:r>
        <w:t>Le règlement se fait par des acomptes et un solde établis conformément aux dispositions suivantes, qui prennent en référence comme montant contractuel le montant du marché subséquent.</w:t>
      </w:r>
    </w:p>
    <w:p w:rsidR="00B868F4" w:rsidRDefault="00B868F4" w:rsidP="00B868F4">
      <w:r>
        <w:t>Pour les sommes concernant l’ensemble du marché subséquent :</w:t>
      </w:r>
    </w:p>
    <w:p w:rsidR="00B868F4" w:rsidRPr="00B54ACF" w:rsidRDefault="00B868F4" w:rsidP="00B868F4">
      <w:pPr>
        <w:pStyle w:val="Listenormale"/>
      </w:pPr>
      <w:r>
        <w:rPr>
          <w:b/>
        </w:rPr>
        <w:t>D</w:t>
      </w:r>
      <w:r w:rsidRPr="00CE6DD2">
        <w:rPr>
          <w:b/>
        </w:rPr>
        <w:t>ans le décompte</w:t>
      </w:r>
      <w:r>
        <w:t xml:space="preserve">, il est indiqué </w:t>
      </w:r>
      <w:r w:rsidRPr="00B54ACF">
        <w:t xml:space="preserve">l’ensemble des sommes à payer </w:t>
      </w:r>
      <w:r w:rsidRPr="00CE6DD2">
        <w:t>depuis le début de l’exécution du marché</w:t>
      </w:r>
      <w:r>
        <w:t xml:space="preserve"> subséquent</w:t>
      </w:r>
      <w:r w:rsidRPr="00B54ACF">
        <w:t xml:space="preserve">, de quelque nature que ce soit (avances, </w:t>
      </w:r>
      <w:r>
        <w:t>approvisionnements, prestations exécutées, taxes,</w:t>
      </w:r>
      <w:r w:rsidRPr="00B54ACF">
        <w:t xml:space="preserve"> etc…) à la date d’arrêt des prestations objet du décompte ;</w:t>
      </w:r>
    </w:p>
    <w:p w:rsidR="00B868F4" w:rsidRPr="00B54ACF" w:rsidRDefault="00B868F4" w:rsidP="00B868F4">
      <w:pPr>
        <w:pStyle w:val="Listenormale"/>
      </w:pPr>
      <w:r>
        <w:t>E</w:t>
      </w:r>
      <w:r w:rsidRPr="00B54ACF">
        <w:t>nsuite</w:t>
      </w:r>
      <w:r>
        <w:t xml:space="preserve">, </w:t>
      </w:r>
      <w:r w:rsidRPr="00CE6DD2">
        <w:rPr>
          <w:b/>
        </w:rPr>
        <w:t>dans l’état d’acompte</w:t>
      </w:r>
      <w:r>
        <w:t>, il est calculé</w:t>
      </w:r>
      <w:r w:rsidRPr="00B54ACF">
        <w:t xml:space="preserve"> la différence </w:t>
      </w:r>
      <w:r>
        <w:t xml:space="preserve">terme à terme </w:t>
      </w:r>
      <w:r w:rsidRPr="00B54ACF">
        <w:t>de</w:t>
      </w:r>
      <w:r>
        <w:t>s</w:t>
      </w:r>
      <w:r w:rsidRPr="00B54ACF">
        <w:t xml:space="preserve"> sommes </w:t>
      </w:r>
      <w:r>
        <w:t>du décompte en cours par rapport au décompte précédent, ainsi que la différence entre les révisions ou actualisation de prix cumulées de l’état d’acompte en cours par rapport à l’état d’acompte précédent</w:t>
      </w:r>
      <w:r w:rsidRPr="00B54ACF">
        <w:t xml:space="preserve">, </w:t>
      </w:r>
      <w:r>
        <w:t>ainsi que leurs taxes, l’addition de tous les termes résultant de cette soustraction permettant d’o</w:t>
      </w:r>
      <w:r w:rsidRPr="00B54ACF">
        <w:t>btenir l’acompte à payer.</w:t>
      </w:r>
    </w:p>
    <w:p w:rsidR="00B868F4" w:rsidRDefault="00B868F4" w:rsidP="00B868F4">
      <w:r>
        <w:t>En cas de sous-traitance :</w:t>
      </w:r>
    </w:p>
    <w:p w:rsidR="00B868F4" w:rsidRDefault="00B868F4" w:rsidP="00B868F4">
      <w:pPr>
        <w:pStyle w:val="Listenormale"/>
      </w:pPr>
      <w:r>
        <w:rPr>
          <w:b/>
        </w:rPr>
        <w:t xml:space="preserve">Dans le décompte, </w:t>
      </w:r>
      <w:r>
        <w:t>il est indiqué ce qui concerne chaque sous-traitant : avances, approvisionnements, prestations exécutées, taxes, révision ou actualisation, puis il en est déduit, poste à poste, par soustraction avec les sommes dues au titre de l’ensemble du marché, ce qui revient au titulaire.</w:t>
      </w:r>
    </w:p>
    <w:p w:rsidR="00B868F4" w:rsidRDefault="00B868F4" w:rsidP="00B868F4">
      <w:pPr>
        <w:pStyle w:val="Listenormale"/>
      </w:pPr>
      <w:r>
        <w:t>Pour chaque sous-traitant, dans un « </w:t>
      </w:r>
      <w:r>
        <w:rPr>
          <w:b/>
        </w:rPr>
        <w:t>état des sommes dues au sous-traitant</w:t>
      </w:r>
      <w:r>
        <w:t> » (équivalent à un état d’acompte, mais restreint au sous-traitant) il est calculé la différence terme à terme des sommes du décompte en cours par rapport au décompte précédent, ainsi que la différence entre les révisions ou actualisation de prix cumulées de l’état des sommes dues en cours par rapport à l’état des sommes dues précédent, ainsi que leurs taxes, l’addition de tous les termes résultant de cette soustraction permettant d’obtenir l’acompte à payer au sous-traitant ;</w:t>
      </w:r>
    </w:p>
    <w:p w:rsidR="00B868F4" w:rsidRDefault="00B868F4" w:rsidP="00B868F4">
      <w:pPr>
        <w:pStyle w:val="Listenormale"/>
      </w:pPr>
      <w:r>
        <w:lastRenderedPageBreak/>
        <w:t>Dans un « </w:t>
      </w:r>
      <w:r>
        <w:rPr>
          <w:b/>
        </w:rPr>
        <w:t>état des sommes dues au titulaire</w:t>
      </w:r>
      <w:r>
        <w:t> » (équivalent à un état d’acompte, mais restreint à ce qui reste au titulaire), il est procédé à la détermination de ce qui reste au titulaire en calculant la différence terme à terme entre les postes de l’état d’acompte par rapport à l’ensemble des états des sommes dues des sous-traitants, l’addition de tous les termes résultant de cette soustraction permettant d’obtenir l’acompte à payer au titulaire.</w:t>
      </w:r>
    </w:p>
    <w:p w:rsidR="00B868F4" w:rsidRDefault="00B868F4" w:rsidP="00B868F4">
      <w:pPr>
        <w:pStyle w:val="Listenormale"/>
      </w:pPr>
      <w:r>
        <w:t>Nota : les sous-traitants ne sont concernés ni par les pénalités, ni par la retenue de garantie.</w:t>
      </w:r>
    </w:p>
    <w:p w:rsidR="00B868F4" w:rsidRDefault="00B868F4" w:rsidP="00B868F4">
      <w:r>
        <w:t>En cas de groupement titulaire du marché sans affectation de lot, les modalités de calcul ci-dessus relatives aux sous-traitants sont appliquées en opérant les substitutions suivantes dans le descriptif : le mandataire du groupement est mis à la place du titulaire, et les cotraitants (ainsi que les éventuels sous-traitants du mandataire ou des cotraitants), sont mis à la place des sous-traitants. Il en résulte un décompte global, un état d’acompte global, et des états des sommes dues au mandataire, aux cotraitants et aux sous-traitants.</w:t>
      </w:r>
    </w:p>
    <w:p w:rsidR="00B868F4" w:rsidRDefault="00B868F4" w:rsidP="00B868F4">
      <w:r>
        <w:t>Il n’y a aucune obligation de présenter un décompte chaque mois et aucune pénalité de non présentation de décompte ne s’applique, sauf demande explicite de la personne responsable du marché ou du maître d’œuvre de présenter un décompte dans un délai imparti qui est au minimum de 7 jours.</w:t>
      </w:r>
    </w:p>
    <w:p w:rsidR="00B868F4" w:rsidRDefault="00B868F4" w:rsidP="00B868F4">
      <w:r>
        <w:t>La personne responsable du marché met à la disposition du titulaire les formulaires nécessaires de décompte, état d’acompte, état des sommes dues et annexes de calcul des variations de prix et remboursement d’avance.</w:t>
      </w:r>
    </w:p>
    <w:p w:rsidR="00B868F4" w:rsidRDefault="00B868F4" w:rsidP="00B868F4">
      <w:r>
        <w:t>A titre d’exemple, un modèle complet est joint en annexe 4 au présent CCAP.</w:t>
      </w:r>
    </w:p>
    <w:p w:rsidR="00B868F4" w:rsidRDefault="00B868F4" w:rsidP="00B868F4">
      <w:r>
        <w:t xml:space="preserve">Pour un marché subséquent standard à quantités définies, le dernier décompte prenant en compte </w:t>
      </w:r>
      <w:r w:rsidR="009262DB">
        <w:t xml:space="preserve">l’ensemble des prestations exécutées au titre du marché ainsi que </w:t>
      </w:r>
      <w:r>
        <w:t>les variations de prix définitives</w:t>
      </w:r>
      <w:r w:rsidR="009262DB">
        <w:t>,</w:t>
      </w:r>
      <w:r>
        <w:t xml:space="preserve"> signé par la personne responsable du marché et notifié au titulaire</w:t>
      </w:r>
      <w:r w:rsidR="009262DB">
        <w:t>,</w:t>
      </w:r>
      <w:r>
        <w:t xml:space="preserve"> est réputé former paiement définitif à l’expiration d’un délai de 1 mois à compter de cette notification si le titulaire n’a pas signalé par écrit son désaccord sur un élément de ce décompte et fourni en même temps les justifications relatives aux réclamations correspondant à ce désaccord.</w:t>
      </w:r>
    </w:p>
    <w:p w:rsidR="00B868F4" w:rsidRDefault="00B868F4" w:rsidP="00B868F4">
      <w:r>
        <w:t>En cas de silence de la personne responsable du marché</w:t>
      </w:r>
      <w:r w:rsidR="009262DB">
        <w:t xml:space="preserve">, </w:t>
      </w:r>
      <w:r>
        <w:t xml:space="preserve">valant </w:t>
      </w:r>
      <w:r w:rsidR="009262DB">
        <w:t>décision implicite</w:t>
      </w:r>
      <w:r>
        <w:t xml:space="preserve"> </w:t>
      </w:r>
      <w:r w:rsidR="009262DB">
        <w:t xml:space="preserve">de </w:t>
      </w:r>
      <w:r>
        <w:t>rejet de sa demande, pendant 3 mois à compter de ce signalement par écrit, ou en cas de décision expresse de la personne responsable concluant au rejet de sa demande dans le même délai, le titulaire peut saisir le tribunal administratif compétent.</w:t>
      </w:r>
    </w:p>
    <w:p w:rsidR="00B868F4" w:rsidRDefault="00B868F4" w:rsidP="00B868F4">
      <w:r>
        <w:t xml:space="preserve">Si, dans le délai de 6 mois à compter du moment où il pouvait le faire, le titulaire n’a pas porté ses réclamations devant le tribunal administratif, </w:t>
      </w:r>
      <w:r w:rsidR="009262DB">
        <w:t>il est considéré comme ayant accepté ladite décision et toute réclamation est irrecevable.</w:t>
      </w:r>
    </w:p>
    <w:p w:rsidR="00B868F4" w:rsidRDefault="00B868F4" w:rsidP="00B868F4">
      <w:pPr>
        <w:pStyle w:val="3NIV3"/>
      </w:pPr>
      <w:bookmarkStart w:id="124" w:name="_Toc60044025"/>
      <w:bookmarkStart w:id="125" w:name="_Toc64622231"/>
      <w:r>
        <w:t xml:space="preserve">8.1.2.2 </w:t>
      </w:r>
      <w:proofErr w:type="gramStart"/>
      <w:r>
        <w:t>– Factures</w:t>
      </w:r>
      <w:bookmarkEnd w:id="124"/>
      <w:bookmarkEnd w:id="125"/>
      <w:proofErr w:type="gramEnd"/>
    </w:p>
    <w:p w:rsidR="00B868F4" w:rsidRDefault="00B868F4" w:rsidP="00B868F4">
      <w:r>
        <w:t>Sans objet.</w:t>
      </w:r>
    </w:p>
    <w:p w:rsidR="00DA3AE2" w:rsidRDefault="00386F03" w:rsidP="007C6FF6">
      <w:pPr>
        <w:pStyle w:val="1NIV1"/>
      </w:pPr>
      <w:bookmarkStart w:id="126" w:name="_Toc64622232"/>
      <w:r>
        <w:t>8.</w:t>
      </w:r>
      <w:r w:rsidR="00921E88">
        <w:t>2</w:t>
      </w:r>
      <w:r w:rsidR="00856A0D">
        <w:t xml:space="preserve"> –VARIATION DES PRIX</w:t>
      </w:r>
      <w:r w:rsidR="00EE021F">
        <w:t xml:space="preserve"> – ACTUALISATION, REVISION</w:t>
      </w:r>
      <w:bookmarkEnd w:id="126"/>
    </w:p>
    <w:p w:rsidR="009F1C69" w:rsidRDefault="00386F03" w:rsidP="007C6FF6">
      <w:pPr>
        <w:pStyle w:val="2NIV2"/>
      </w:pPr>
      <w:bookmarkStart w:id="127" w:name="_Toc47515360"/>
      <w:bookmarkStart w:id="128" w:name="_Toc64622233"/>
      <w:r>
        <w:t>8.</w:t>
      </w:r>
      <w:r w:rsidR="00921E88">
        <w:t>2</w:t>
      </w:r>
      <w:r w:rsidR="00DA3AE2">
        <w:t>.1</w:t>
      </w:r>
      <w:r w:rsidR="009F1C69">
        <w:t xml:space="preserve"> – </w:t>
      </w:r>
      <w:r w:rsidR="00BE1B67">
        <w:t>Actualis</w:t>
      </w:r>
      <w:r w:rsidR="009F1C69">
        <w:t>ation des prix</w:t>
      </w:r>
      <w:bookmarkEnd w:id="127"/>
      <w:r w:rsidR="009B2F51">
        <w:t xml:space="preserve"> fermes</w:t>
      </w:r>
      <w:r w:rsidR="006E07C0">
        <w:t xml:space="preserve"> – </w:t>
      </w:r>
      <w:r w:rsidR="00DD06E1">
        <w:t>lorsque</w:t>
      </w:r>
      <w:r w:rsidR="006E07C0">
        <w:t xml:space="preserve"> la durée d’exécution</w:t>
      </w:r>
      <w:r w:rsidR="00F04FC2">
        <w:t xml:space="preserve"> du marché subséquent</w:t>
      </w:r>
      <w:r w:rsidR="006E07C0">
        <w:t xml:space="preserve"> est inférieure à 6 mois</w:t>
      </w:r>
      <w:bookmarkEnd w:id="128"/>
    </w:p>
    <w:p w:rsidR="00BE1B67" w:rsidRDefault="00BE1B67" w:rsidP="00F04FC2">
      <w:r>
        <w:t xml:space="preserve">La date d’établissement des prix est réputée être le </w:t>
      </w:r>
      <w:r w:rsidR="00DD06E1">
        <w:t>dernier</w:t>
      </w:r>
      <w:r>
        <w:t xml:space="preserve"> jour du mois </w:t>
      </w:r>
      <w:r w:rsidRPr="00BE1B67">
        <w:t>Mo</w:t>
      </w:r>
      <w:r w:rsidRPr="00AC6EC8">
        <w:t xml:space="preserve"> d’établissement des prix </w:t>
      </w:r>
      <w:r>
        <w:t>précisé à l’article 2 de l’acte d’engagement</w:t>
      </w:r>
      <w:r w:rsidR="00AE49AE">
        <w:t xml:space="preserve"> du marché subséquent</w:t>
      </w:r>
      <w:r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lastRenderedPageBreak/>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3C591E" w:rsidP="00265B3E">
      <w:pPr>
        <w:pStyle w:val="Listenormale"/>
      </w:pPr>
      <w:r>
        <w:t xml:space="preserve">Io : </w:t>
      </w:r>
      <w:r>
        <w:tab/>
        <w:t>valeur de l’indice</w:t>
      </w:r>
      <w:r w:rsidR="00BE1B67">
        <w:t xml:space="preserve"> de référence au mois correspondant à la date d’établissement des prix</w:t>
      </w:r>
    </w:p>
    <w:p w:rsidR="00BE1B67" w:rsidRDefault="003C591E" w:rsidP="00265B3E">
      <w:pPr>
        <w:pStyle w:val="Listenormale"/>
      </w:pPr>
      <w:r>
        <w:t>I (d-3) : valeur de l’indice</w:t>
      </w:r>
      <w:r w:rsidR="00BE1B67">
        <w:t xml:space="preserve"> de référence trois mois avant la date de début d’exécution des prestations.</w:t>
      </w:r>
    </w:p>
    <w:p w:rsidR="006D77EA" w:rsidRDefault="006D77EA" w:rsidP="006D77EA">
      <w:r w:rsidRPr="00D813EA">
        <w:t xml:space="preserve">Le coefficient </w:t>
      </w:r>
      <w:proofErr w:type="gramStart"/>
      <w:r w:rsidRPr="00D813EA">
        <w:t>I</w:t>
      </w:r>
      <w:r>
        <w:t>(</w:t>
      </w:r>
      <w:proofErr w:type="gramEnd"/>
      <w:r>
        <w:t>d-3)</w:t>
      </w:r>
      <w:r w:rsidRPr="00D813EA">
        <w:t xml:space="preserve"> </w:t>
      </w:r>
      <w:r w:rsidR="006966B2">
        <w:t>/ Io est tronqué à la 4è décimale, puis arrondi au millième</w:t>
      </w:r>
      <w:r w:rsidRPr="00D813EA">
        <w:t xml:space="preserve"> supérieur.</w:t>
      </w:r>
    </w:p>
    <w:p w:rsidR="00AE49AE" w:rsidRDefault="00AE49AE" w:rsidP="00560080">
      <w:r w:rsidRPr="00AE49AE">
        <w:t xml:space="preserve">Une annexe de calcul jointe au document de paiement justifie les prix unitaires </w:t>
      </w:r>
      <w:r>
        <w:t>actualisés</w:t>
      </w:r>
      <w:r w:rsidRPr="00AE49AE">
        <w:t>.</w:t>
      </w:r>
    </w:p>
    <w:p w:rsidR="00560080" w:rsidRDefault="00560080" w:rsidP="00560080">
      <w:r>
        <w:t>Si un avenant contractualise la mise à jour des prix par actualisation, ce document n’a plus à être joint aux demandes de paiement.</w:t>
      </w:r>
    </w:p>
    <w:p w:rsidR="009B2F51" w:rsidRDefault="00386F03" w:rsidP="007C6FF6">
      <w:pPr>
        <w:pStyle w:val="2NIV2"/>
      </w:pPr>
      <w:bookmarkStart w:id="129" w:name="_Toc64622234"/>
      <w:r>
        <w:t>8.</w:t>
      </w:r>
      <w:r w:rsidR="00921E88">
        <w:t>2</w:t>
      </w:r>
      <w:r w:rsidR="00DA3AE2">
        <w:t>.2</w:t>
      </w:r>
      <w:r w:rsidR="009B2F51">
        <w:t xml:space="preserve"> – Révision des prix</w:t>
      </w:r>
      <w:r w:rsidR="007C6E70">
        <w:t xml:space="preserve">– lorsque la durée d’exécution </w:t>
      </w:r>
      <w:r w:rsidR="00F04FC2">
        <w:t xml:space="preserve">du marché subséquent </w:t>
      </w:r>
      <w:r w:rsidR="007C6E70">
        <w:t>est supérieure ou égale à 6 mois</w:t>
      </w:r>
      <w:bookmarkEnd w:id="129"/>
    </w:p>
    <w:p w:rsidR="009B2F51" w:rsidRDefault="009B2F51" w:rsidP="00F04FC2">
      <w:r>
        <w:t xml:space="preserve">La date d’établissement des prix est réputée être le dernier jour du mois </w:t>
      </w:r>
      <w:r w:rsidRPr="00BE1B67">
        <w:t>Mo</w:t>
      </w:r>
      <w:r w:rsidRPr="00AC6EC8">
        <w:t xml:space="preserve"> d’établissement des prix </w:t>
      </w:r>
      <w:r>
        <w:t>précisé à l’article 2 de l’acte d’engagement</w:t>
      </w:r>
      <w:r w:rsidR="00AE49AE">
        <w:t xml:space="preserve"> du marché subséquent</w:t>
      </w:r>
      <w:r w:rsidRPr="00AC6EC8">
        <w:t>.</w:t>
      </w:r>
    </w:p>
    <w:p w:rsidR="009B2F51" w:rsidRPr="006E07C0" w:rsidRDefault="009B2F51" w:rsidP="009B2F51">
      <w:pPr>
        <w:spacing w:line="245" w:lineRule="auto"/>
        <w:rPr>
          <w:bCs/>
          <w:iCs/>
          <w:kern w:val="28"/>
        </w:rPr>
      </w:pPr>
      <w:r w:rsidRPr="006E07C0">
        <w:rPr>
          <w:bCs/>
          <w:iCs/>
          <w:kern w:val="28"/>
        </w:rPr>
        <w:t>Chaque acompte est révisé aux conditions économiques du mois correspondant à la date d’arrêt des prestations exécutées donnant lieu à l’acompte, par application d’un coefficient C selon les formules suivantes :</w:t>
      </w:r>
    </w:p>
    <w:p w:rsidR="009B2F51" w:rsidRPr="006E07C0" w:rsidRDefault="009B2F51" w:rsidP="009B2F51">
      <w:pPr>
        <w:spacing w:line="245" w:lineRule="auto"/>
        <w:rPr>
          <w:bCs/>
          <w:iCs/>
          <w:kern w:val="28"/>
          <w:lang w:val="en-US"/>
        </w:rPr>
      </w:pPr>
      <w:r w:rsidRPr="006E07C0">
        <w:rPr>
          <w:bCs/>
          <w:iCs/>
          <w:kern w:val="28"/>
          <w:lang w:val="en-US"/>
        </w:rPr>
        <w:t>F = 0</w:t>
      </w:r>
      <w:proofErr w:type="gramStart"/>
      <w:r w:rsidRPr="006E07C0">
        <w:rPr>
          <w:bCs/>
          <w:iCs/>
          <w:kern w:val="28"/>
          <w:lang w:val="en-US"/>
        </w:rPr>
        <w:t>,85</w:t>
      </w:r>
      <w:proofErr w:type="gramEnd"/>
      <w:r w:rsidRPr="006E07C0">
        <w:rPr>
          <w:bCs/>
          <w:iCs/>
          <w:kern w:val="28"/>
          <w:lang w:val="en-US"/>
        </w:rPr>
        <w:t xml:space="preserve"> x I / Io + 0,15    </w:t>
      </w:r>
    </w:p>
    <w:p w:rsidR="009B2F51" w:rsidRPr="006E07C0" w:rsidRDefault="009B2F51" w:rsidP="009B2F51">
      <w:pPr>
        <w:spacing w:line="245" w:lineRule="auto"/>
        <w:rPr>
          <w:bCs/>
          <w:iCs/>
          <w:kern w:val="28"/>
          <w:lang w:val="en-US"/>
        </w:rPr>
      </w:pPr>
      <w:r w:rsidRPr="006E07C0">
        <w:rPr>
          <w:bCs/>
          <w:iCs/>
          <w:kern w:val="28"/>
          <w:lang w:val="en-US"/>
        </w:rPr>
        <w:t>C = F – 1</w:t>
      </w:r>
      <w:r w:rsidRPr="006E07C0">
        <w:rPr>
          <w:bCs/>
          <w:iCs/>
          <w:kern w:val="28"/>
          <w:lang w:val="en-US"/>
        </w:rPr>
        <w:tab/>
      </w:r>
      <w:r w:rsidRPr="006E07C0">
        <w:rPr>
          <w:bCs/>
          <w:iCs/>
          <w:kern w:val="28"/>
          <w:lang w:val="en-US"/>
        </w:rPr>
        <w:tab/>
      </w:r>
      <w:proofErr w:type="gramStart"/>
      <w:r w:rsidRPr="006E07C0">
        <w:rPr>
          <w:bCs/>
          <w:iCs/>
          <w:kern w:val="28"/>
          <w:lang w:val="en-US"/>
        </w:rPr>
        <w:t>Avec :</w:t>
      </w:r>
      <w:proofErr w:type="gramEnd"/>
    </w:p>
    <w:p w:rsidR="009B2F51" w:rsidRPr="006E07C0" w:rsidRDefault="003C591E" w:rsidP="00265B3E">
      <w:pPr>
        <w:pStyle w:val="Listenormale"/>
      </w:pPr>
      <w:r>
        <w:t>Io : valeur de l’indice</w:t>
      </w:r>
      <w:r w:rsidR="009B2F51" w:rsidRPr="006E07C0">
        <w:t xml:space="preserve"> de référence au mois correspondant à la date d’établissement des prix</w:t>
      </w:r>
    </w:p>
    <w:p w:rsidR="009B2F51" w:rsidRPr="006E07C0" w:rsidRDefault="009B2F51" w:rsidP="00265B3E">
      <w:pPr>
        <w:pStyle w:val="Listenormale"/>
      </w:pPr>
      <w:r w:rsidRPr="006E07C0">
        <w:t>I : valeur de l’ind</w:t>
      </w:r>
      <w:r w:rsidR="003C591E">
        <w:t>ice</w:t>
      </w:r>
      <w:r w:rsidRPr="006E07C0">
        <w:t xml:space="preserve"> de référence au mois correspondant à la date d’arrêt des prestations donnant lieu à l’acompte. </w:t>
      </w:r>
    </w:p>
    <w:p w:rsidR="009B2F51" w:rsidRPr="006E07C0" w:rsidRDefault="009B2F51" w:rsidP="009B2F51">
      <w:pPr>
        <w:spacing w:line="245" w:lineRule="auto"/>
        <w:rPr>
          <w:bCs/>
          <w:iCs/>
          <w:kern w:val="28"/>
        </w:rPr>
      </w:pPr>
      <w:r w:rsidRPr="006E07C0">
        <w:rPr>
          <w:bCs/>
          <w:iCs/>
          <w:kern w:val="28"/>
        </w:rPr>
        <w:t>F est tronqué à la 4è décimale, puis est arrondi au millième supérieur.</w:t>
      </w:r>
    </w:p>
    <w:p w:rsidR="009B2F51" w:rsidRDefault="009B2F51" w:rsidP="009B2F51">
      <w:pPr>
        <w:spacing w:line="245" w:lineRule="auto"/>
        <w:rPr>
          <w:bCs/>
          <w:iCs/>
          <w:kern w:val="28"/>
        </w:rPr>
      </w:pPr>
      <w:r w:rsidRPr="006E07C0">
        <w:rPr>
          <w:bCs/>
          <w:iCs/>
          <w:kern w:val="28"/>
        </w:rPr>
        <w:t>L’acompte révisé est arrondi à l’entier le plus proche.</w:t>
      </w:r>
    </w:p>
    <w:p w:rsidR="00DD06E1" w:rsidRDefault="00386F03" w:rsidP="007C6FF6">
      <w:pPr>
        <w:pStyle w:val="2NIV2"/>
      </w:pPr>
      <w:bookmarkStart w:id="130" w:name="_Toc64622235"/>
      <w:r>
        <w:t>8.</w:t>
      </w:r>
      <w:r w:rsidR="00DC2EF5">
        <w:t>2</w:t>
      </w:r>
      <w:r w:rsidR="00DA3AE2">
        <w:t>.</w:t>
      </w:r>
      <w:r w:rsidR="007C6FF6">
        <w:t>3</w:t>
      </w:r>
      <w:r w:rsidR="00DD06E1">
        <w:t xml:space="preserve"> – Indice de référence</w:t>
      </w:r>
      <w:bookmarkEnd w:id="130"/>
    </w:p>
    <w:p w:rsidR="00DD06E1" w:rsidRDefault="00DD06E1" w:rsidP="00DD06E1">
      <w:r>
        <w:t>Pour l’application des formules d’actualisation ou de révision des prix ci-dessus, l’indice de référence est :</w:t>
      </w:r>
    </w:p>
    <w:sdt>
      <w:sdtPr>
        <w:id w:val="-729458613"/>
      </w:sdtPr>
      <w:sdtEndPr/>
      <w:sdtContent>
        <w:p w:rsidR="00DD06E1" w:rsidRDefault="00F2448C"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sdtContent>
    </w:sdt>
    <w:sdt>
      <w:sdtPr>
        <w:id w:val="1573622017"/>
      </w:sdtPr>
      <w:sdtEndPr/>
      <w:sdtContent>
        <w:p w:rsidR="00DD06E1" w:rsidRDefault="00F2448C"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sdtContent>
    </w:sdt>
    <w:sdt>
      <w:sdtPr>
        <w:id w:val="844063494"/>
      </w:sdtPr>
      <w:sdtEndPr/>
      <w:sdtContent>
        <w:p w:rsidR="006C271F" w:rsidRDefault="00F2448C"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909812993"/>
      </w:sdtPr>
      <w:sdtEndPr/>
      <w:sdtContent>
        <w:p w:rsidR="006C271F" w:rsidRDefault="00F2448C" w:rsidP="006C271F">
          <w:pPr>
            <w:pStyle w:val="Listenormale"/>
          </w:pPr>
          <w:sdt>
            <w:sdtPr>
              <w:id w:val="616488145"/>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F2448C" w:rsidP="004A0DC6"/>
            </w:tc>
          </w:tr>
        </w:tbl>
      </w:sdtContent>
    </w:sdt>
    <w:sdt>
      <w:sdtPr>
        <w:id w:val="-163322005"/>
      </w:sdtPr>
      <w:sdtEndPr/>
      <w:sdtContent>
        <w:p w:rsidR="006C271F" w:rsidRDefault="00F2448C" w:rsidP="006C271F">
          <w:pPr>
            <w:pStyle w:val="Listenormale"/>
          </w:pPr>
          <w:sdt>
            <w:sdtPr>
              <w:id w:val="319159414"/>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lastRenderedPageBreak/>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F2448C" w:rsidP="004A0DC6"/>
            </w:tc>
          </w:tr>
        </w:tbl>
      </w:sdtContent>
    </w:sdt>
    <w:p w:rsidR="00D23859" w:rsidRPr="00DA3AE2" w:rsidRDefault="00386F03" w:rsidP="007C6FF6">
      <w:pPr>
        <w:pStyle w:val="2NIV2"/>
      </w:pPr>
      <w:bookmarkStart w:id="131" w:name="_Toc64622236"/>
      <w:r>
        <w:t>8.</w:t>
      </w:r>
      <w:r w:rsidR="00DC2EF5">
        <w:t>2</w:t>
      </w:r>
      <w:r w:rsidR="00DA3AE2" w:rsidRPr="00DA3AE2">
        <w:t>.</w:t>
      </w:r>
      <w:r w:rsidR="007C6FF6">
        <w:t>4</w:t>
      </w:r>
      <w:r w:rsidR="00DA3AE2" w:rsidRPr="00DA3AE2">
        <w:t xml:space="preserve"> – Actualisation ou révision provisoire</w:t>
      </w:r>
      <w:bookmarkEnd w:id="131"/>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7671C6" w:rsidRDefault="007671C6" w:rsidP="007671C6">
      <w:pPr>
        <w:pStyle w:val="1NIV1"/>
      </w:pPr>
      <w:bookmarkStart w:id="132" w:name="_Toc60156453"/>
      <w:bookmarkStart w:id="133" w:name="_Toc60244007"/>
      <w:bookmarkStart w:id="134" w:name="_Toc64622237"/>
      <w:r>
        <w:t>8.3 – ACOMPTES SUR APPROVISIONNEMENTS</w:t>
      </w:r>
      <w:bookmarkEnd w:id="132"/>
      <w:bookmarkEnd w:id="133"/>
      <w:bookmarkEnd w:id="134"/>
    </w:p>
    <w:sdt>
      <w:sdtPr>
        <w:id w:val="-1552987249"/>
      </w:sdtPr>
      <w:sdtEndPr/>
      <w:sdtContent>
        <w:p w:rsidR="007671C6" w:rsidRDefault="00F2448C" w:rsidP="007671C6">
          <w:pPr>
            <w:pStyle w:val="NormalX"/>
          </w:pPr>
          <w:sdt>
            <w:sdtPr>
              <w:id w:val="-820812634"/>
              <w14:checkbox>
                <w14:checked w14:val="0"/>
                <w14:checkedState w14:val="2612" w14:font="MS Gothic"/>
                <w14:uncheckedState w14:val="2610" w14:font="MS Gothic"/>
              </w14:checkbox>
            </w:sdtPr>
            <w:sdtEndPr/>
            <w:sdtContent>
              <w:r w:rsidR="007671C6">
                <w:rPr>
                  <w:rFonts w:ascii="MS Gothic" w:eastAsia="MS Gothic" w:hAnsi="MS Gothic" w:hint="eastAsia"/>
                </w:rPr>
                <w:t>☐</w:t>
              </w:r>
            </w:sdtContent>
          </w:sdt>
          <w:r w:rsidR="007671C6">
            <w:t xml:space="preserve"> Sans objet.</w:t>
          </w:r>
        </w:p>
      </w:sdtContent>
    </w:sdt>
    <w:sdt>
      <w:sdtPr>
        <w:id w:val="-1622303376"/>
      </w:sdtPr>
      <w:sdtEndPr/>
      <w:sdtContent>
        <w:p w:rsidR="007671C6" w:rsidRDefault="00F2448C" w:rsidP="007671C6">
          <w:pPr>
            <w:pStyle w:val="NormalX"/>
          </w:pPr>
          <w:sdt>
            <w:sdtPr>
              <w:id w:val="-1638563646"/>
              <w14:checkbox>
                <w14:checked w14:val="0"/>
                <w14:checkedState w14:val="2612" w14:font="MS Gothic"/>
                <w14:uncheckedState w14:val="2610" w14:font="MS Gothic"/>
              </w14:checkbox>
            </w:sdtPr>
            <w:sdtEndPr/>
            <w:sdtContent>
              <w:r w:rsidR="007671C6">
                <w:rPr>
                  <w:rFonts w:ascii="MS Gothic" w:eastAsia="MS Gothic" w:hAnsi="MS Gothic" w:hint="eastAsia"/>
                </w:rPr>
                <w:t>☐</w:t>
              </w:r>
            </w:sdtContent>
          </w:sdt>
          <w:r w:rsidR="007671C6">
            <w:t xml:space="preserve"> Des acomptes sur approvisionnements peuvent être réglés au titulaire dans les conditions et sous réserve des garanties suiva</w:t>
          </w:r>
          <w:r w:rsidR="00AB7DC9">
            <w:t>ntes</w:t>
          </w:r>
          <w:r w:rsidR="007671C6">
            <w:t xml:space="preserve"> :</w:t>
          </w:r>
        </w:p>
        <w:p w:rsidR="007671C6" w:rsidRDefault="007671C6" w:rsidP="00AB7DC9">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Approvisionnements affectés à la réalisation de …….  pour le compte de …….. " et seront facilement identifiables par le référent du marché. Tous frais éventuels de colisage, d'entreposage et de gardiennage restent à la charge de l'entreprise.</w:t>
          </w:r>
        </w:p>
        <w:sdt>
          <w:sdtPr>
            <w:id w:val="-1703933127"/>
          </w:sdtPr>
          <w:sdtEndPr/>
          <w:sdtContent>
            <w:p w:rsidR="007671C6" w:rsidRDefault="00F2448C" w:rsidP="007671C6">
              <w:pPr>
                <w:pStyle w:val="ListeX"/>
                <w:ind w:left="1985" w:hanging="644"/>
              </w:pPr>
              <w:sdt>
                <w:sdtPr>
                  <w:id w:val="-927806949"/>
                  <w14:checkbox>
                    <w14:checked w14:val="0"/>
                    <w14:checkedState w14:val="2612" w14:font="MS Gothic"/>
                    <w14:uncheckedState w14:val="2610" w14:font="MS Gothic"/>
                  </w14:checkbox>
                </w:sdtPr>
                <w:sdtEndPr/>
                <w:sdtContent>
                  <w:r w:rsidR="007671C6">
                    <w:rPr>
                      <w:rFonts w:ascii="MS Gothic" w:eastAsia="MS Gothic" w:hAnsi="MS Gothic" w:hint="eastAsia"/>
                    </w:rPr>
                    <w:t>☐</w:t>
                  </w:r>
                </w:sdtContent>
              </w:sdt>
              <w:r w:rsidR="007671C6">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
          <w:sdtPr>
            <w:id w:val="1450355338"/>
          </w:sdtPr>
          <w:sdtEndPr/>
          <w:sdtContent>
            <w:p w:rsidR="007671C6" w:rsidRDefault="00F2448C" w:rsidP="007671C6">
              <w:pPr>
                <w:pStyle w:val="ListeX"/>
                <w:ind w:left="1985" w:hanging="644"/>
              </w:pPr>
              <w:sdt>
                <w:sdtPr>
                  <w:id w:val="-1025715959"/>
                  <w14:checkbox>
                    <w14:checked w14:val="0"/>
                    <w14:checkedState w14:val="2612" w14:font="MS Gothic"/>
                    <w14:uncheckedState w14:val="2610" w14:font="MS Gothic"/>
                  </w14:checkbox>
                </w:sdtPr>
                <w:sdtEndPr/>
                <w:sdtContent>
                  <w:r w:rsidR="007671C6">
                    <w:rPr>
                      <w:rFonts w:ascii="MS Gothic" w:eastAsia="MS Gothic" w:hAnsi="MS Gothic" w:hint="eastAsia"/>
                    </w:rPr>
                    <w:t>☐</w:t>
                  </w:r>
                </w:sdtContent>
              </w:sdt>
              <w:r w:rsidR="007671C6">
                <w:t xml:space="preserve"> Production d'une caution personnelle et solidaire couvrant la valeur totale des approvisionnements.</w:t>
              </w:r>
            </w:p>
          </w:sdtContent>
        </w:sdt>
        <w:p w:rsidR="007671C6" w:rsidRDefault="007671C6" w:rsidP="007671C6">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7671C6" w:rsidRDefault="007671C6" w:rsidP="007671C6">
          <w:r>
            <w:t>A défaut, les dispositions suivantes sont appliquées :</w:t>
          </w:r>
        </w:p>
        <w:p w:rsidR="007671C6" w:rsidRDefault="007671C6" w:rsidP="007671C6">
          <w:pPr>
            <w:pStyle w:val="Listenormale"/>
          </w:pPr>
          <w:r>
            <w:t>Le montant total prévisionnel des approvisionnements AT, déclaré par écrit par le titulaire du marché, est accepté par la personne responsable du marché par écrit ;</w:t>
          </w:r>
        </w:p>
        <w:p w:rsidR="007671C6" w:rsidRDefault="007671C6" w:rsidP="007671C6">
          <w:pPr>
            <w:pStyle w:val="Listenormale"/>
          </w:pPr>
          <w:r>
            <w:t>Il en est déduit un taux noté PA représentant la proportion de ces approvisionnements AT par rapport au montant contractuel HT du marché subséquent ;</w:t>
          </w:r>
        </w:p>
        <w:p w:rsidR="007671C6" w:rsidRDefault="007671C6" w:rsidP="007671C6">
          <w:pPr>
            <w:pStyle w:val="Listenormale"/>
          </w:pPr>
          <w:r>
            <w:lastRenderedPageBreak/>
            <w:t>Ce taux PA, arrondi à la 2ème décimale supérieure, servira à déterminer forfaitairement la part d'approvisionnements constitués et utilisés (AU), réputée comprise dans l'avancement de l’exécution des prestations T ;</w:t>
          </w:r>
        </w:p>
        <w:p w:rsidR="007671C6" w:rsidRDefault="007671C6" w:rsidP="007671C6">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7671C6" w:rsidRDefault="007671C6" w:rsidP="007671C6">
          <w:pPr>
            <w:pStyle w:val="Listenormale"/>
          </w:pPr>
          <w:r>
            <w:t>Une annexe de calcul jointe au document de paiement retracera :</w:t>
          </w:r>
        </w:p>
        <w:p w:rsidR="007671C6" w:rsidRDefault="007671C6" w:rsidP="007671C6">
          <w:pPr>
            <w:pStyle w:val="Listenormale"/>
            <w:numPr>
              <w:ilvl w:val="2"/>
              <w:numId w:val="15"/>
            </w:numPr>
          </w:pPr>
          <w:r>
            <w:t>Le montant contractuel HT du marché subséquent, noté M ;</w:t>
          </w:r>
        </w:p>
        <w:p w:rsidR="007671C6" w:rsidRDefault="007671C6" w:rsidP="007671C6">
          <w:pPr>
            <w:pStyle w:val="Listenormale"/>
            <w:numPr>
              <w:ilvl w:val="2"/>
              <w:numId w:val="15"/>
            </w:numPr>
          </w:pPr>
          <w:r>
            <w:t>Le montant total prévisionnel des approvisionnements déclarés par le demandeur et acceptés par écrit par la personne responsable du marché, noté AT ;</w:t>
          </w:r>
        </w:p>
        <w:p w:rsidR="007671C6" w:rsidRDefault="007671C6" w:rsidP="007671C6">
          <w:pPr>
            <w:pStyle w:val="Listenormale"/>
            <w:numPr>
              <w:ilvl w:val="2"/>
              <w:numId w:val="15"/>
            </w:numPr>
          </w:pPr>
          <w:r>
            <w:t>Le calcul du taux PA = AT / M représentant forfaitairement la part d’approvisionnement comprise dans toute exécution de la commande ;</w:t>
          </w:r>
        </w:p>
        <w:p w:rsidR="007671C6" w:rsidRDefault="007671C6" w:rsidP="007671C6">
          <w:pPr>
            <w:pStyle w:val="Listenormale"/>
            <w:numPr>
              <w:ilvl w:val="2"/>
              <w:numId w:val="15"/>
            </w:numPr>
          </w:pPr>
          <w:r>
            <w:t>Le montant cumulé des factures acquittées pour les Approvisionnements Constitués, noté AC. Ce montant ne peut excéder AT ;</w:t>
          </w:r>
        </w:p>
        <w:p w:rsidR="007671C6" w:rsidRDefault="007671C6" w:rsidP="007671C6">
          <w:pPr>
            <w:pStyle w:val="Listenormale"/>
            <w:numPr>
              <w:ilvl w:val="2"/>
              <w:numId w:val="15"/>
            </w:numPr>
          </w:pPr>
          <w:r>
            <w:t>L'avancement de l’exécution du marché subséquent, noté T ;</w:t>
          </w:r>
        </w:p>
        <w:p w:rsidR="007671C6" w:rsidRDefault="007671C6" w:rsidP="007671C6">
          <w:pPr>
            <w:pStyle w:val="Listenormale"/>
            <w:numPr>
              <w:ilvl w:val="2"/>
              <w:numId w:val="15"/>
            </w:numPr>
          </w:pPr>
          <w:r>
            <w:t>Le montant cumulé de la part des approvisionnements comprise dans l'avancement T, noté AU (Approvisionnements Utilisés) et évalué forfaitairement à AU = PA x T ;</w:t>
          </w:r>
        </w:p>
        <w:p w:rsidR="007671C6" w:rsidRDefault="007671C6" w:rsidP="007671C6">
          <w:pPr>
            <w:pStyle w:val="Listenormale"/>
            <w:numPr>
              <w:ilvl w:val="2"/>
              <w:numId w:val="15"/>
            </w:numPr>
          </w:pPr>
          <w:r>
            <w:t>le montant cumulé des approvisionnements à prendre en compte dans la facturation cumulée, noté A, et égal à : 0,80 x (AC - AU).</w:t>
          </w:r>
        </w:p>
        <w:p w:rsidR="007671C6" w:rsidRDefault="007671C6" w:rsidP="007671C6">
          <w:pPr>
            <w:pStyle w:val="Listenormale"/>
          </w:pPr>
          <w:r>
            <w:t>A cette annexe de calcul seront joints les justificatifs concernant le montant des factures acquittées pour les approvisionnements constitués (AC).</w:t>
          </w:r>
        </w:p>
      </w:sdtContent>
    </w:sdt>
    <w:p w:rsidR="00C8080F" w:rsidRDefault="00386F03" w:rsidP="00C8080F">
      <w:pPr>
        <w:pStyle w:val="1NIV1"/>
      </w:pPr>
      <w:bookmarkStart w:id="135" w:name="_Toc64622238"/>
      <w:r>
        <w:t>8.</w:t>
      </w:r>
      <w:r w:rsidR="00C8080F">
        <w:t>4 – AVANCE</w:t>
      </w:r>
      <w:r w:rsidR="002F090E">
        <w:t>S</w:t>
      </w:r>
      <w:bookmarkEnd w:id="135"/>
    </w:p>
    <w:p w:rsidR="006F5750" w:rsidRDefault="006F5750" w:rsidP="006F5750">
      <w:pPr>
        <w:pStyle w:val="2NIV2"/>
      </w:pPr>
      <w:bookmarkStart w:id="136" w:name="_Toc64622239"/>
      <w:r>
        <w:t>8.4.1 –</w:t>
      </w:r>
      <w:r w:rsidR="008D0B12">
        <w:t xml:space="preserve"> A</w:t>
      </w:r>
      <w:r>
        <w:t>vances</w:t>
      </w:r>
      <w:r w:rsidR="008D0B12">
        <w:t xml:space="preserve"> prévues par le marché</w:t>
      </w:r>
      <w:bookmarkEnd w:id="136"/>
    </w:p>
    <w:sdt>
      <w:sdtPr>
        <w:id w:val="260508682"/>
      </w:sdtPr>
      <w:sdtEndPr/>
      <w:sdtContent>
        <w:p w:rsidR="00581876" w:rsidRDefault="00F2448C" w:rsidP="00581876">
          <w:pPr>
            <w:pStyle w:val="NormalX"/>
          </w:pPr>
          <w:sdt>
            <w:sdtPr>
              <w:id w:val="-995333466"/>
              <w14:checkbox>
                <w14:checked w14:val="0"/>
                <w14:checkedState w14:val="2612" w14:font="MS Gothic"/>
                <w14:uncheckedState w14:val="2610" w14:font="MS Gothic"/>
              </w14:checkbox>
            </w:sdtPr>
            <w:sdtEndPr/>
            <w:sdtContent>
              <w:r w:rsidR="00581876">
                <w:rPr>
                  <w:rFonts w:ascii="MS Gothic" w:eastAsia="MS Gothic" w:hAnsi="MS Gothic" w:hint="eastAsia"/>
                </w:rPr>
                <w:t>☐</w:t>
              </w:r>
            </w:sdtContent>
          </w:sdt>
          <w:r w:rsidR="00581876">
            <w:t xml:space="preserve"> Sans objet.</w:t>
          </w:r>
          <w:r w:rsidR="006F5750">
            <w:t xml:space="preserve"> Aucun</w:t>
          </w:r>
          <w:r w:rsidR="00B04B9D">
            <w:t>e</w:t>
          </w:r>
          <w:r w:rsidR="006F5750">
            <w:t xml:space="preserve"> avance ne sera versée au titre du présent marché.</w:t>
          </w:r>
        </w:p>
      </w:sdtContent>
    </w:sdt>
    <w:sdt>
      <w:sdtPr>
        <w:id w:val="-57862454"/>
      </w:sdtPr>
      <w:sdtEndPr/>
      <w:sdtContent>
        <w:p w:rsidR="001D74D4" w:rsidRDefault="00F2448C" w:rsidP="001D74D4">
          <w:pPr>
            <w:pStyle w:val="NormalX"/>
          </w:pPr>
          <w:sdt>
            <w:sdtPr>
              <w:id w:val="-1250894950"/>
              <w14:checkbox>
                <w14:checked w14:val="0"/>
                <w14:checkedState w14:val="2612" w14:font="MS Gothic"/>
                <w14:uncheckedState w14:val="2610" w14:font="MS Gothic"/>
              </w14:checkbox>
            </w:sdtPr>
            <w:sdtEndPr/>
            <w:sdtContent>
              <w:r w:rsidR="001D74D4">
                <w:rPr>
                  <w:rFonts w:ascii="MS Gothic" w:eastAsia="MS Gothic" w:hAnsi="MS Gothic" w:hint="eastAsia"/>
                </w:rPr>
                <w:t>☐</w:t>
              </w:r>
            </w:sdtContent>
          </w:sdt>
          <w:r w:rsidR="001D74D4">
            <w:t xml:space="preserve"> Conformément à l’article 53 de la délibération n° 424 du 20 mars 2019, dès notification du marché subséquent, le titulaire du marché est réputé demander le versement d’une avance selon un pourcentage TA du montant forfaitaire HT du marché subséquent pouvant aller jusqu’à un pourcentage maximal appelé TA max et fixé à l’article 7 de l’acte d’engagement, sauf refus explicite exprimé dans la soumission ou après notification du marché subséquent.</w:t>
          </w:r>
        </w:p>
        <w:p w:rsidR="006E5378" w:rsidRDefault="006E5378" w:rsidP="006E5378">
          <w:r>
            <w:t>TA max ne peut être supérieur à 80 (%).</w:t>
          </w:r>
        </w:p>
        <w:p w:rsidR="006E5378" w:rsidRDefault="006E5378" w:rsidP="006E5378">
          <w:r>
            <w:t xml:space="preserve">TA peut être précisé par le titulaire </w:t>
          </w:r>
          <w:r w:rsidR="00152B1C">
            <w:t xml:space="preserve">ou le sous-traitant </w:t>
          </w:r>
          <w:r>
            <w:t xml:space="preserve">en réponse à la notification </w:t>
          </w:r>
          <w:r w:rsidR="00D47D3C">
            <w:t>du marché</w:t>
          </w:r>
          <w:r>
            <w:t>. A défaut, TA est égal à TA max.</w:t>
          </w:r>
        </w:p>
        <w:p w:rsidR="00152B1C" w:rsidRDefault="00152B1C" w:rsidP="00152B1C">
          <w:r>
            <w:t>En cas de sous-traitance :</w:t>
          </w:r>
        </w:p>
        <w:p w:rsidR="00152B1C" w:rsidRDefault="00152B1C" w:rsidP="00152B1C">
          <w:pPr>
            <w:pStyle w:val="Listenormale"/>
            <w:numPr>
              <w:ilvl w:val="0"/>
              <w:numId w:val="44"/>
            </w:numPr>
          </w:pPr>
          <w:r>
            <w:t>le montant à considérer pour le calcul de l’avance à verser au titulaire est le montant contractuel commandé diminué des montants sous-traités ;</w:t>
          </w:r>
        </w:p>
        <w:p w:rsidR="00152B1C" w:rsidRDefault="00152B1C" w:rsidP="00152B1C">
          <w:pPr>
            <w:pStyle w:val="Listenormale"/>
            <w:numPr>
              <w:ilvl w:val="0"/>
              <w:numId w:val="44"/>
            </w:numPr>
          </w:pPr>
          <w:r>
            <w:t>le montant à considérer pour le calcul de l’avance à verser au sous-traitant, est le montant contractuel commandé affecté au sous-traitant.</w:t>
          </w:r>
        </w:p>
      </w:sdtContent>
    </w:sdt>
    <w:p w:rsidR="008D0B12" w:rsidRDefault="008D0B12" w:rsidP="008D0B12">
      <w:pPr>
        <w:pStyle w:val="2NIV2"/>
      </w:pPr>
      <w:bookmarkStart w:id="137" w:name="_Toc64622240"/>
      <w:r>
        <w:lastRenderedPageBreak/>
        <w:t>8.4.2 – Conditions d’accès aux avances prévues par le marché</w:t>
      </w:r>
      <w:bookmarkEnd w:id="137"/>
    </w:p>
    <w:sdt>
      <w:sdtPr>
        <w:id w:val="177096298"/>
      </w:sdtPr>
      <w:sdtEndPr/>
      <w:sdtContent>
        <w:p w:rsidR="008D0B12" w:rsidRDefault="00F2448C"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1331959514"/>
      </w:sdtPr>
      <w:sdtEndPr/>
      <w:sdtContent>
        <w:p w:rsidR="00CE3525" w:rsidRDefault="00F2448C" w:rsidP="008D0B12">
          <w:pPr>
            <w:pStyle w:val="NormalX"/>
          </w:pPr>
          <w:sdt>
            <w:sdtPr>
              <w:id w:val="-2117049726"/>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w:t>
          </w:r>
          <w:r w:rsidR="00CE3525">
            <w:t>Le titulaire est tenu de présenter un décompte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sdt>
          <w:sdtPr>
            <w:id w:val="951451914"/>
          </w:sdtPr>
          <w:sdtEndPr/>
          <w:sdtContent>
            <w:p w:rsidR="00C8080F" w:rsidRDefault="00F2448C" w:rsidP="00265B3E">
              <w:pPr>
                <w:pStyle w:val="ListeX"/>
              </w:pPr>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C1553F">
                <w:t>5</w:t>
              </w:r>
              <w:r w:rsidR="00C8080F">
                <w:t xml:space="preserve"> au présent CCAP.</w:t>
              </w:r>
            </w:p>
          </w:sdtContent>
        </w:sdt>
        <w:sdt>
          <w:sdtPr>
            <w:id w:val="-953007830"/>
          </w:sdtPr>
          <w:sdtEndPr/>
          <w:sdtContent>
            <w:p w:rsidR="00CE3525" w:rsidRDefault="00F2448C" w:rsidP="00615241">
              <w:pPr>
                <w:pStyle w:val="ListeX"/>
              </w:pPr>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sdtContent>
        </w:sdt>
      </w:sdtContent>
    </w:sdt>
    <w:p w:rsidR="00484A6D" w:rsidRDefault="00484A6D" w:rsidP="00484A6D">
      <w:pPr>
        <w:pStyle w:val="2NIV2"/>
      </w:pPr>
      <w:bookmarkStart w:id="138" w:name="_Toc60044035"/>
      <w:bookmarkStart w:id="139" w:name="_Toc64622241"/>
      <w:bookmarkStart w:id="140" w:name="_Toc57013092"/>
      <w:r>
        <w:t>8.4.3 – Remboursement des avances</w:t>
      </w:r>
      <w:bookmarkEnd w:id="138"/>
      <w:bookmarkEnd w:id="139"/>
    </w:p>
    <w:sdt>
      <w:sdtPr>
        <w:id w:val="1998375193"/>
      </w:sdtPr>
      <w:sdtEndPr/>
      <w:sdtContent>
        <w:p w:rsidR="00484A6D" w:rsidRDefault="00F2448C" w:rsidP="00484A6D">
          <w:pPr>
            <w:pStyle w:val="NormalX"/>
          </w:pPr>
          <w:sdt>
            <w:sdtPr>
              <w:id w:val="168752940"/>
              <w14:checkbox>
                <w14:checked w14:val="0"/>
                <w14:checkedState w14:val="2612" w14:font="MS Gothic"/>
                <w14:uncheckedState w14:val="2610" w14:font="MS Gothic"/>
              </w14:checkbox>
            </w:sdtPr>
            <w:sdtEndPr/>
            <w:sdtContent>
              <w:r w:rsidR="00484A6D">
                <w:rPr>
                  <w:rFonts w:ascii="MS Gothic" w:eastAsia="MS Gothic" w:hAnsi="MS Gothic" w:hint="eastAsia"/>
                </w:rPr>
                <w:t>☐</w:t>
              </w:r>
            </w:sdtContent>
          </w:sdt>
          <w:r w:rsidR="00484A6D">
            <w:t xml:space="preserve"> Sans objet.</w:t>
          </w:r>
        </w:p>
      </w:sdtContent>
    </w:sdt>
    <w:sdt>
      <w:sdtPr>
        <w:id w:val="-2133938649"/>
      </w:sdtPr>
      <w:sdtEndPr/>
      <w:sdtContent>
        <w:p w:rsidR="00484A6D" w:rsidRDefault="00F2448C" w:rsidP="00484A6D">
          <w:pPr>
            <w:pStyle w:val="NormalX"/>
          </w:pPr>
          <w:sdt>
            <w:sdtPr>
              <w:id w:val="-739406672"/>
              <w14:checkbox>
                <w14:checked w14:val="0"/>
                <w14:checkedState w14:val="2612" w14:font="MS Gothic"/>
                <w14:uncheckedState w14:val="2610" w14:font="MS Gothic"/>
              </w14:checkbox>
            </w:sdtPr>
            <w:sdtEndPr/>
            <w:sdtContent>
              <w:r w:rsidR="00484A6D">
                <w:rPr>
                  <w:rFonts w:ascii="MS Gothic" w:eastAsia="MS Gothic" w:hAnsi="MS Gothic" w:hint="eastAsia"/>
                </w:rPr>
                <w:t>☐</w:t>
              </w:r>
            </w:sdtContent>
          </w:sdt>
          <w:r w:rsidR="00484A6D">
            <w:t xml:space="preserve"> </w:t>
          </w:r>
          <w:r w:rsidR="00484A6D" w:rsidRPr="00ED64B7">
            <w:t xml:space="preserve">L’avance est remboursée par </w:t>
          </w:r>
          <w:r w:rsidR="00484A6D">
            <w:t>le titulaire ou le sous-traitant concerné</w:t>
          </w:r>
          <w:r w:rsidR="00484A6D" w:rsidRPr="00ED64B7">
            <w:t xml:space="preserve"> lorsque l</w:t>
          </w:r>
          <w:r w:rsidR="00484A6D">
            <w:t>’avancement de l’exécution des prestations, appelé</w:t>
          </w:r>
          <w:r w:rsidR="00484A6D" w:rsidRPr="00ED64B7">
            <w:t xml:space="preserve"> </w:t>
          </w:r>
          <w:r w:rsidR="00484A6D">
            <w:t xml:space="preserve">T, </w:t>
          </w:r>
          <w:r w:rsidR="00484A6D" w:rsidRPr="00ED64B7">
            <w:t xml:space="preserve">atteint </w:t>
          </w:r>
          <w:r w:rsidR="00484A6D">
            <w:t>un pourcentage D (en</w:t>
          </w:r>
          <w:r w:rsidR="00484A6D" w:rsidRPr="00ED64B7">
            <w:t xml:space="preserve"> %</w:t>
          </w:r>
          <w:r w:rsidR="00484A6D">
            <w:t>)</w:t>
          </w:r>
          <w:r w:rsidR="00484A6D" w:rsidRPr="00ED64B7">
            <w:t xml:space="preserve"> du montant initial </w:t>
          </w:r>
          <w:r w:rsidR="00484A6D">
            <w:t>HT</w:t>
          </w:r>
          <w:r w:rsidR="00484A6D" w:rsidRPr="00ED64B7">
            <w:t xml:space="preserve"> du </w:t>
          </w:r>
          <w:r w:rsidR="00484A6D">
            <w:t>marché subséquent standard, propre au titulaire ou au sous-traitant</w:t>
          </w:r>
          <w:r w:rsidR="00484A6D" w:rsidRPr="00ED64B7">
            <w:t>.</w:t>
          </w:r>
        </w:p>
        <w:p w:rsidR="00484A6D" w:rsidRDefault="00484A6D" w:rsidP="00484A6D">
          <w:r>
            <w:t>Par défaut, D est égal à 40 (%).</w:t>
          </w:r>
        </w:p>
        <w:p w:rsidR="00484A6D" w:rsidRDefault="00484A6D" w:rsidP="00484A6D">
          <w:r>
            <w:t>Si TA est supérieur à 80 – 40 = 40, alors D = 80 – TA.</w:t>
          </w:r>
        </w:p>
        <w:p w:rsidR="00484A6D" w:rsidRDefault="00484A6D" w:rsidP="00484A6D">
          <w:r w:rsidRPr="00ED64B7">
            <w:t xml:space="preserve">Le remboursement de l’avance doit être terminé au plus tard lorsque </w:t>
          </w:r>
          <w:r>
            <w:t>l’avancement d’exécution</w:t>
          </w:r>
          <w:r w:rsidRPr="00ED64B7">
            <w:t xml:space="preserve"> atteint 80 % du </w:t>
          </w:r>
          <w:r>
            <w:t xml:space="preserve">même </w:t>
          </w:r>
          <w:r w:rsidRPr="00ED64B7">
            <w:t>montant</w:t>
          </w:r>
          <w:r>
            <w:t>.</w:t>
          </w:r>
        </w:p>
        <w:p w:rsidR="00484A6D" w:rsidRDefault="00484A6D" w:rsidP="00484A6D">
          <w:r>
            <w:t>Le remboursement des avances entre ces deux bornes se fait lors du calcul de l’acompte par différence entre le montant de l’avance cumulée due au titre du décompte en cours et le montant de l’avance cumulée due au titre du décompte précédent, ces montants d’avance cumulée étant déterminés selon les modalités suivantes, reprises dans une annexe de calcul jointe au décompte.</w:t>
          </w:r>
        </w:p>
        <w:p w:rsidR="00484A6D" w:rsidRDefault="00484A6D" w:rsidP="00484A6D">
          <w:pPr>
            <w:pStyle w:val="Listenormale"/>
          </w:pPr>
          <w:r>
            <w:t>Montant contractuel pris en compte pour le titulaire ou le sous-traitant concerné : MC</w:t>
          </w:r>
        </w:p>
        <w:p w:rsidR="00484A6D" w:rsidRDefault="00484A6D" w:rsidP="00484A6D">
          <w:pPr>
            <w:pStyle w:val="Listenormale"/>
          </w:pPr>
          <w:r>
            <w:t>Taux d'avance maximum prévu au marché : TA max</w:t>
          </w:r>
        </w:p>
        <w:p w:rsidR="00484A6D" w:rsidRDefault="00484A6D" w:rsidP="00484A6D">
          <w:pPr>
            <w:pStyle w:val="Listenormale"/>
          </w:pPr>
          <w:r>
            <w:t>Taux d'avance spécifique demandé par le titulaire ou le sous-traitant : TA  (inférieur ou égal TA max)</w:t>
          </w:r>
        </w:p>
        <w:p w:rsidR="00484A6D" w:rsidRDefault="00484A6D" w:rsidP="00484A6D">
          <w:pPr>
            <w:pStyle w:val="Listenormale"/>
          </w:pPr>
          <w:r>
            <w:t>Montant de l'avance accordée : A0 = TA x MC</w:t>
          </w:r>
        </w:p>
        <w:p w:rsidR="00484A6D" w:rsidRDefault="00484A6D" w:rsidP="00484A6D">
          <w:pPr>
            <w:pStyle w:val="Listenormale"/>
          </w:pPr>
          <w:r>
            <w:t>M</w:t>
          </w:r>
          <w:r w:rsidRPr="00ED64B7">
            <w:t>ontant</w:t>
          </w:r>
          <w:r>
            <w:t xml:space="preserve"> de l'avance à inclure dans le décompte noté A, déterminé en fonction de l'avancement d’exécution des prestations, noté T (en %) :</w:t>
          </w:r>
        </w:p>
        <w:p w:rsidR="00484A6D" w:rsidRDefault="00484A6D" w:rsidP="00484A6D">
          <w:pPr>
            <w:pStyle w:val="Listenormale"/>
            <w:numPr>
              <w:ilvl w:val="2"/>
              <w:numId w:val="15"/>
            </w:numPr>
          </w:pPr>
          <w:r>
            <w:t>Entre 0% et D d'avancement, A = A0</w:t>
          </w:r>
          <w:r>
            <w:tab/>
          </w:r>
        </w:p>
        <w:p w:rsidR="00484A6D" w:rsidRDefault="00484A6D" w:rsidP="00484A6D">
          <w:pPr>
            <w:pStyle w:val="Listenormale"/>
            <w:numPr>
              <w:ilvl w:val="2"/>
              <w:numId w:val="15"/>
            </w:numPr>
          </w:pPr>
          <w:r>
            <w:t xml:space="preserve">Entre D et 80% d'avancement, A = A0 x (80 - T) / </w:t>
          </w:r>
          <w:proofErr w:type="gramStart"/>
          <w:r>
            <w:t>( 80</w:t>
          </w:r>
          <w:proofErr w:type="gramEnd"/>
          <w:r>
            <w:t xml:space="preserve"> - D)</w:t>
          </w:r>
        </w:p>
        <w:p w:rsidR="00484A6D" w:rsidRDefault="00484A6D" w:rsidP="00484A6D">
          <w:pPr>
            <w:pStyle w:val="Listenormale"/>
            <w:numPr>
              <w:ilvl w:val="2"/>
              <w:numId w:val="15"/>
            </w:numPr>
          </w:pPr>
          <w:r>
            <w:t>Entre 80% et 100% d'avancement, A = 0.</w:t>
          </w:r>
        </w:p>
      </w:sdtContent>
    </w:sdt>
    <w:p w:rsidR="001D2CE2" w:rsidRDefault="001D2CE2" w:rsidP="001D2CE2">
      <w:pPr>
        <w:pStyle w:val="1NIV1"/>
      </w:pPr>
      <w:bookmarkStart w:id="141" w:name="_Toc64622242"/>
      <w:r>
        <w:t>8.5 – AUTO-LIQUIDATION DE LA TGC</w:t>
      </w:r>
      <w:bookmarkEnd w:id="140"/>
      <w:bookmarkEnd w:id="141"/>
    </w:p>
    <w:p w:rsidR="001D2CE2" w:rsidRDefault="001D2CE2" w:rsidP="001D2CE2">
      <w:r>
        <w:lastRenderedPageBreak/>
        <w:t xml:space="preserve">Dans le cas d’un titulaire résidant hors du territoire de la Nouvelle-Calédonie, </w:t>
      </w:r>
      <w:r w:rsidR="009E7146">
        <w:t>la personne responsable du marché</w:t>
      </w:r>
      <w:r>
        <w:t xml:space="preserve"> procédera à l’auto-liquidation de la TGC applicable en faveur de la Direction des services fiscaux de la Nouvelle-Calédonie.</w:t>
      </w:r>
    </w:p>
    <w:p w:rsidR="006B1010" w:rsidRDefault="006B1010" w:rsidP="001D2CE2">
      <w:r>
        <w:br w:type="page"/>
      </w:r>
    </w:p>
    <w:p w:rsidR="006B1010" w:rsidRPr="00F517BF" w:rsidRDefault="00273A6F" w:rsidP="00273A6F">
      <w:pPr>
        <w:pStyle w:val="0ENTETE"/>
        <w:rPr>
          <w:color w:val="auto"/>
        </w:rPr>
      </w:pPr>
      <w:bookmarkStart w:id="142" w:name="_Toc64622243"/>
      <w:r w:rsidRPr="00F517BF">
        <w:rPr>
          <w:color w:val="auto"/>
        </w:rPr>
        <w:lastRenderedPageBreak/>
        <w:t xml:space="preserve">ARTICLE </w:t>
      </w:r>
      <w:r w:rsidR="006B1010" w:rsidRPr="00F517BF">
        <w:rPr>
          <w:color w:val="auto"/>
        </w:rPr>
        <w:t xml:space="preserve">9 – </w:t>
      </w:r>
      <w:r w:rsidR="00A60A15">
        <w:rPr>
          <w:color w:val="auto"/>
        </w:rPr>
        <w:t xml:space="preserve">MARCHE SUBSEQUENT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42"/>
    </w:p>
    <w:p w:rsidR="00B22A3D" w:rsidRPr="00F517BF" w:rsidRDefault="00B22A3D" w:rsidP="00B22A3D">
      <w:pPr>
        <w:pStyle w:val="1NIV1"/>
      </w:pPr>
      <w:bookmarkStart w:id="143" w:name="_Toc64622244"/>
      <w:bookmarkStart w:id="144" w:name="_Toc57703040"/>
      <w:r w:rsidRPr="00F517BF">
        <w:t xml:space="preserve">9.1 – </w:t>
      </w:r>
      <w:r>
        <w:t>FORME DES DOCUMENTS DE PAIEMENT</w:t>
      </w:r>
      <w:bookmarkEnd w:id="143"/>
    </w:p>
    <w:p w:rsidR="00B22A3D" w:rsidRPr="00F517BF" w:rsidRDefault="00B22A3D" w:rsidP="00B22A3D">
      <w:pPr>
        <w:pStyle w:val="2NIV2"/>
      </w:pPr>
      <w:bookmarkStart w:id="145" w:name="_Toc64622245"/>
      <w:bookmarkStart w:id="146" w:name="_Toc57703041"/>
      <w:bookmarkEnd w:id="144"/>
      <w:r w:rsidRPr="00F517BF">
        <w:t>9.1</w:t>
      </w:r>
      <w:r>
        <w:t>.1</w:t>
      </w:r>
      <w:r w:rsidRPr="00F517BF">
        <w:t xml:space="preserve"> – </w:t>
      </w:r>
      <w:r>
        <w:t>Mentions obligatoires sur les factures</w:t>
      </w:r>
      <w:bookmarkEnd w:id="145"/>
    </w:p>
    <w:p w:rsidR="00B22A3D" w:rsidRPr="00F517BF" w:rsidRDefault="00B22A3D" w:rsidP="00B22A3D">
      <w:r w:rsidRPr="00F517BF">
        <w:t>Le</w:t>
      </w:r>
      <w:r>
        <w:t xml:space="preserve">s mentions minimales suivantes </w:t>
      </w:r>
      <w:r w:rsidRPr="00F517BF">
        <w:t xml:space="preserve">doivent apparaître </w:t>
      </w:r>
      <w:r>
        <w:t xml:space="preserve">sur les factures / situations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bookmarkEnd w:id="146"/>
    <w:p w:rsidR="00484A6D" w:rsidRPr="00F517BF" w:rsidRDefault="00484A6D" w:rsidP="00484A6D">
      <w:pPr>
        <w:pStyle w:val="Listea"/>
        <w:numPr>
          <w:ilvl w:val="0"/>
          <w:numId w:val="38"/>
        </w:numPr>
      </w:pPr>
      <w:r w:rsidRPr="00F517BF">
        <w:t>Le numéro et la date de notification du marché</w:t>
      </w:r>
      <w:r>
        <w:t xml:space="preserve"> subséquent</w:t>
      </w:r>
      <w:r w:rsidR="00740979">
        <w:t>.</w:t>
      </w:r>
    </w:p>
    <w:p w:rsidR="00484A6D" w:rsidRPr="00F517BF" w:rsidRDefault="00484A6D" w:rsidP="00484A6D">
      <w:pPr>
        <w:pStyle w:val="2NIV2"/>
      </w:pPr>
      <w:bookmarkStart w:id="147" w:name="_Toc60061350"/>
      <w:bookmarkStart w:id="148" w:name="_Toc64622246"/>
      <w:r w:rsidRPr="00F517BF">
        <w:t>9.1.</w:t>
      </w:r>
      <w:r>
        <w:t>2</w:t>
      </w:r>
      <w:r w:rsidRPr="00F517BF">
        <w:t xml:space="preserve"> – </w:t>
      </w:r>
      <w:r>
        <w:t>Décomptes et états d’acompte</w:t>
      </w:r>
      <w:bookmarkEnd w:id="147"/>
      <w:bookmarkEnd w:id="148"/>
    </w:p>
    <w:p w:rsidR="00484A6D" w:rsidRPr="00F517BF" w:rsidRDefault="00484A6D" w:rsidP="00484A6D">
      <w:r w:rsidRPr="00F517BF">
        <w:t>Les décomptes correspondant aux prestations</w:t>
      </w:r>
      <w:r>
        <w:t xml:space="preserve"> commandées et</w:t>
      </w:r>
      <w:r w:rsidRPr="00F517BF">
        <w:t xml:space="preserve"> exécutées </w:t>
      </w:r>
      <w:r>
        <w:t>sont</w:t>
      </w:r>
      <w:r w:rsidRPr="00F517BF">
        <w:t xml:space="preserve"> présentés :</w:t>
      </w:r>
    </w:p>
    <w:p w:rsidR="00484A6D" w:rsidRPr="00F517BF" w:rsidRDefault="00484A6D" w:rsidP="00484A6D">
      <w:pPr>
        <w:pStyle w:val="Listenormale"/>
      </w:pPr>
      <w:r w:rsidRPr="00F517BF">
        <w:t>pour le paiement d’une avance si celle-ci est prévue par le marché ;</w:t>
      </w:r>
    </w:p>
    <w:p w:rsidR="00484A6D" w:rsidRPr="00F517BF" w:rsidRDefault="00484A6D" w:rsidP="00484A6D">
      <w:pPr>
        <w:pStyle w:val="Listenormale"/>
      </w:pPr>
      <w:r>
        <w:t>lorsqu’</w:t>
      </w:r>
      <w:r w:rsidRPr="00F517BF">
        <w:t>une partie des prestations commandées a été exécutée ;</w:t>
      </w:r>
    </w:p>
    <w:p w:rsidR="00484A6D" w:rsidRDefault="00484A6D" w:rsidP="00484A6D">
      <w:pPr>
        <w:pStyle w:val="Listenormale"/>
      </w:pPr>
      <w:r w:rsidRPr="00F517BF">
        <w:t xml:space="preserve">à la fin de l’exécution des prestations </w:t>
      </w:r>
      <w:r>
        <w:t>objet du marché subséquent ;</w:t>
      </w:r>
    </w:p>
    <w:p w:rsidR="00484A6D" w:rsidRPr="00F517BF" w:rsidRDefault="00484A6D" w:rsidP="00484A6D">
      <w:pPr>
        <w:pStyle w:val="Listenormale"/>
      </w:pPr>
      <w:r>
        <w:t>après parution des indices définitifs s’ils n’étaient pas encore parus lors de la facturation intervenant à la fin de l’exécution des prestations</w:t>
      </w:r>
      <w:r w:rsidRPr="00F517BF">
        <w:t>.</w:t>
      </w:r>
    </w:p>
    <w:p w:rsidR="00484A6D" w:rsidRDefault="00484A6D" w:rsidP="00484A6D">
      <w:r w:rsidRPr="00F517BF">
        <w:t>Les décomptes</w:t>
      </w:r>
      <w:r>
        <w:t xml:space="preserve"> et</w:t>
      </w:r>
      <w:r w:rsidRPr="00F517BF">
        <w:t xml:space="preserve"> états d’acompte nécessaires au paiement sont présentés conformément aux formulaires fournis par </w:t>
      </w:r>
      <w:r>
        <w:t>le référent du marché</w:t>
      </w:r>
      <w:r w:rsidRPr="00F517BF">
        <w:t>.</w:t>
      </w:r>
    </w:p>
    <w:p w:rsidR="00484A6D" w:rsidRDefault="00484A6D" w:rsidP="00484A6D">
      <w:r>
        <w:t>Ils comprennent éventuellement l</w:t>
      </w:r>
      <w:r w:rsidRPr="00F517BF">
        <w:t>es justificatifs nécessaires</w:t>
      </w:r>
      <w:r>
        <w:t xml:space="preserve">, </w:t>
      </w:r>
      <w:r w:rsidRPr="00F517BF">
        <w:t>par exemple</w:t>
      </w:r>
      <w:r>
        <w:t> :</w:t>
      </w:r>
    </w:p>
    <w:p w:rsidR="00484A6D" w:rsidRDefault="00484A6D" w:rsidP="00484A6D">
      <w:pPr>
        <w:pStyle w:val="Listenormale"/>
      </w:pPr>
      <w:r>
        <w:t>annexe de calcul d’une</w:t>
      </w:r>
      <w:r w:rsidRPr="00F517BF">
        <w:t xml:space="preserve"> avance</w:t>
      </w:r>
      <w:r>
        <w:t>,</w:t>
      </w:r>
    </w:p>
    <w:p w:rsidR="00484A6D" w:rsidRDefault="00484A6D" w:rsidP="00484A6D">
      <w:pPr>
        <w:pStyle w:val="Listenormale"/>
      </w:pPr>
      <w:r>
        <w:t>si exigée, la caution bancaire pour l’avance, conforme au modèle de l’annexe 5 du présent CCAP,</w:t>
      </w:r>
    </w:p>
    <w:p w:rsidR="00484A6D" w:rsidRPr="00F517BF" w:rsidRDefault="00484A6D" w:rsidP="00484A6D">
      <w:pPr>
        <w:pStyle w:val="Listenormale"/>
      </w:pPr>
      <w:r>
        <w:t>annexe de calcul d’</w:t>
      </w:r>
      <w:r w:rsidRPr="00F517BF">
        <w:t xml:space="preserve">actualisation </w:t>
      </w:r>
      <w:r>
        <w:t>ou révision des prix.</w:t>
      </w:r>
    </w:p>
    <w:p w:rsidR="00484A6D" w:rsidRDefault="00484A6D" w:rsidP="00484A6D">
      <w:r w:rsidRPr="00F517BF">
        <w:t>A titre d’exemple, un modè</w:t>
      </w:r>
      <w:r>
        <w:t>le complet est joint en annexe 4</w:t>
      </w:r>
      <w:r w:rsidRPr="00F517BF">
        <w:t xml:space="preserve"> au présent CCAP.</w:t>
      </w:r>
    </w:p>
    <w:p w:rsidR="00484A6D" w:rsidRPr="00F517BF" w:rsidRDefault="00484A6D" w:rsidP="00484A6D">
      <w:r w:rsidRPr="00F517BF">
        <w:t xml:space="preserve">Les situations détaillant l’avancement des prestations sont présentées sous forme de facture </w:t>
      </w:r>
      <w:r>
        <w:t xml:space="preserve">détaillée </w:t>
      </w:r>
      <w:r w:rsidRPr="00F517BF">
        <w:t>établissant le montant des prestations exécutées cumulé depuis le début de leur exécution.</w:t>
      </w:r>
    </w:p>
    <w:p w:rsidR="00484A6D" w:rsidRDefault="00484A6D" w:rsidP="00484A6D">
      <w:r>
        <w:t>Si les</w:t>
      </w:r>
      <w:r w:rsidRPr="00F517BF">
        <w:t xml:space="preserve"> prestations </w:t>
      </w:r>
      <w:r>
        <w:t xml:space="preserve">sont </w:t>
      </w:r>
      <w:r w:rsidRPr="00F517BF">
        <w:t>réglées sur prix unitaires, ces situations détaillen</w:t>
      </w:r>
      <w:r>
        <w:t>t obligatoirement les quantités réelles exécutées.</w:t>
      </w:r>
    </w:p>
    <w:p w:rsidR="00484A6D" w:rsidRPr="00F517BF" w:rsidRDefault="00484A6D" w:rsidP="00484A6D">
      <w:r>
        <w:t>Sur la situation</w:t>
      </w:r>
      <w:r w:rsidRPr="00F517BF">
        <w:t xml:space="preserve"> doivent apparaître</w:t>
      </w:r>
      <w:r>
        <w:t>, outre les mentions listées à l’article 9.1.1</w:t>
      </w:r>
      <w:r w:rsidRPr="00F517BF">
        <w:t xml:space="preserve"> :</w:t>
      </w:r>
    </w:p>
    <w:p w:rsidR="00484A6D" w:rsidRDefault="00484A6D" w:rsidP="00484A6D">
      <w:pPr>
        <w:pStyle w:val="Listea"/>
        <w:numPr>
          <w:ilvl w:val="0"/>
          <w:numId w:val="40"/>
        </w:numPr>
      </w:pPr>
      <w:r w:rsidRPr="00F517BF">
        <w:t>La nature des prestations,</w:t>
      </w:r>
    </w:p>
    <w:p w:rsidR="00484A6D" w:rsidRPr="00F517BF" w:rsidRDefault="00484A6D" w:rsidP="00484A6D">
      <w:pPr>
        <w:pStyle w:val="Listea"/>
        <w:numPr>
          <w:ilvl w:val="0"/>
          <w:numId w:val="40"/>
        </w:numPr>
      </w:pPr>
      <w:r>
        <w:t>Les prix prévus au marché,</w:t>
      </w:r>
    </w:p>
    <w:p w:rsidR="00484A6D" w:rsidRPr="00F517BF" w:rsidRDefault="00484A6D" w:rsidP="00484A6D">
      <w:pPr>
        <w:pStyle w:val="Listea"/>
        <w:numPr>
          <w:ilvl w:val="0"/>
          <w:numId w:val="40"/>
        </w:numPr>
      </w:pPr>
      <w:r>
        <w:t>L’avancement de l’exécution des prestations depuis le début de l’exécution du marché subséquent standard</w:t>
      </w:r>
      <w:r w:rsidRPr="00F517BF">
        <w:t>,</w:t>
      </w:r>
    </w:p>
    <w:p w:rsidR="00484A6D" w:rsidRDefault="00484A6D" w:rsidP="00484A6D">
      <w:pPr>
        <w:pStyle w:val="Listea"/>
        <w:numPr>
          <w:ilvl w:val="0"/>
          <w:numId w:val="40"/>
        </w:numPr>
      </w:pPr>
      <w:r w:rsidRPr="00F517BF">
        <w:t>Le montant total hors taxe,</w:t>
      </w:r>
    </w:p>
    <w:p w:rsidR="00484A6D" w:rsidRDefault="00484A6D" w:rsidP="00484A6D">
      <w:pPr>
        <w:pStyle w:val="Listea"/>
        <w:numPr>
          <w:ilvl w:val="0"/>
          <w:numId w:val="40"/>
        </w:numPr>
      </w:pPr>
      <w:r>
        <w:t>L’éventuelle réfaction décidée par la personne responsable du marché,</w:t>
      </w:r>
    </w:p>
    <w:p w:rsidR="00484A6D" w:rsidRPr="00F517BF" w:rsidRDefault="00484A6D" w:rsidP="00484A6D">
      <w:pPr>
        <w:pStyle w:val="Listea"/>
        <w:numPr>
          <w:ilvl w:val="0"/>
          <w:numId w:val="40"/>
        </w:numPr>
      </w:pPr>
      <w:r w:rsidRPr="00F517BF">
        <w:lastRenderedPageBreak/>
        <w:t>Les taux et prix des taxes applicables,</w:t>
      </w:r>
    </w:p>
    <w:p w:rsidR="00484A6D" w:rsidRPr="00F517BF" w:rsidRDefault="00484A6D" w:rsidP="00484A6D">
      <w:pPr>
        <w:pStyle w:val="Listea"/>
        <w:numPr>
          <w:ilvl w:val="0"/>
          <w:numId w:val="40"/>
        </w:numPr>
      </w:pPr>
      <w:r w:rsidRPr="00F517BF">
        <w:t xml:space="preserve">Le </w:t>
      </w:r>
      <w:r>
        <w:t>montant cumulé à payer</w:t>
      </w:r>
      <w:r w:rsidRPr="00F517BF">
        <w:t xml:space="preserve"> toutes taxes comprises</w:t>
      </w:r>
      <w:r>
        <w:t>.</w:t>
      </w:r>
    </w:p>
    <w:p w:rsidR="00484A6D" w:rsidRDefault="00484A6D" w:rsidP="00484A6D">
      <w:r w:rsidRPr="00F6628D">
        <w:t>Les demandes de paiement des sous-traitants seront obligatoirement intégrées aux documents du titulaire, comme indiqué à l’article 8.</w:t>
      </w:r>
      <w:r>
        <w:t>1.</w:t>
      </w:r>
      <w:r w:rsidRPr="00F6628D">
        <w:t>2.1 du présent CCAP.</w:t>
      </w:r>
    </w:p>
    <w:p w:rsidR="00484A6D" w:rsidRDefault="00484A6D" w:rsidP="00484A6D">
      <w:r w:rsidRPr="00F517BF">
        <w:t>En cas de groupement solidaire sans affectation de lot, les demandes de paiement des cotraitants seront obligatoirement intégrées aux documents du mandataire</w:t>
      </w:r>
      <w:r>
        <w:t>, comme indiqué à l’article 8.1.2.1 du présent CCAP</w:t>
      </w:r>
      <w:r w:rsidRPr="00F517BF">
        <w:t>.</w:t>
      </w:r>
    </w:p>
    <w:p w:rsidR="00484A6D" w:rsidRPr="00F517BF" w:rsidRDefault="00484A6D" w:rsidP="00484A6D">
      <w:r>
        <w:t>L</w:t>
      </w:r>
      <w:r w:rsidRPr="00F517BF">
        <w:t xml:space="preserve">a </w:t>
      </w:r>
      <w:r>
        <w:t>situation</w:t>
      </w:r>
      <w:r w:rsidRPr="00F517BF">
        <w:t xml:space="preserve"> est certifiée le service fait par le </w:t>
      </w:r>
      <w:r>
        <w:t xml:space="preserve">référent interne, à défaut le </w:t>
      </w:r>
      <w:r w:rsidRPr="00F517BF">
        <w:t>référent du marché.</w:t>
      </w:r>
    </w:p>
    <w:p w:rsidR="00484A6D" w:rsidRPr="00F517BF" w:rsidRDefault="00484A6D" w:rsidP="00484A6D">
      <w:pPr>
        <w:pStyle w:val="2NIV2"/>
      </w:pPr>
      <w:bookmarkStart w:id="149" w:name="_Toc52959060"/>
      <w:bookmarkStart w:id="150" w:name="_Toc57703045"/>
      <w:bookmarkStart w:id="151" w:name="_Toc60061351"/>
      <w:bookmarkStart w:id="152" w:name="_Toc64622247"/>
      <w:r>
        <w:t>9.1</w:t>
      </w:r>
      <w:r w:rsidRPr="00F517BF">
        <w:t>.</w:t>
      </w:r>
      <w:r>
        <w:t>3</w:t>
      </w:r>
      <w:r w:rsidRPr="00F517BF">
        <w:t xml:space="preserve"> – </w:t>
      </w:r>
      <w:bookmarkEnd w:id="149"/>
      <w:bookmarkEnd w:id="150"/>
      <w:r>
        <w:t>Factures</w:t>
      </w:r>
      <w:bookmarkEnd w:id="151"/>
      <w:bookmarkEnd w:id="152"/>
    </w:p>
    <w:p w:rsidR="00484A6D" w:rsidRDefault="00484A6D" w:rsidP="00484A6D">
      <w:bookmarkStart w:id="153" w:name="_Toc52959061"/>
      <w:r>
        <w:t>Sans objet.</w:t>
      </w:r>
    </w:p>
    <w:p w:rsidR="00B22A3D" w:rsidRDefault="00B22A3D" w:rsidP="00B22A3D">
      <w:pPr>
        <w:pStyle w:val="1NIV1"/>
      </w:pPr>
      <w:bookmarkStart w:id="154" w:name="_Toc64622248"/>
      <w:bookmarkEnd w:id="153"/>
      <w:r>
        <w:t>9.2</w:t>
      </w:r>
      <w:r w:rsidRPr="00F517BF">
        <w:t xml:space="preserve"> – ENVOI DES DOCUMENTS DE DEMANDE DE PAIEMENT</w:t>
      </w:r>
      <w:bookmarkEnd w:id="154"/>
    </w:p>
    <w:p w:rsidR="00FA4DF5" w:rsidRDefault="00FA4DF5" w:rsidP="00FA4DF5">
      <w:r w:rsidRPr="00F517BF">
        <w:t>Les documents de demande de paiement seront envoyés aux adresses suivantes (plusieurs cases à cocher possibles) :</w:t>
      </w:r>
    </w:p>
    <w:sdt>
      <w:sdtPr>
        <w:id w:val="54829661"/>
      </w:sdtPr>
      <w:sdtEndPr/>
      <w:sdtContent>
        <w:p w:rsidR="00B22A3D" w:rsidRPr="00F517BF" w:rsidRDefault="00F2448C"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sdtContent>
    </w:sdt>
    <w:sdt>
      <w:sdtPr>
        <w:id w:val="1595661865"/>
      </w:sdtPr>
      <w:sdtEndPr/>
      <w:sdtContent>
        <w:p w:rsidR="00B22A3D" w:rsidRPr="00F517BF" w:rsidRDefault="00F2448C" w:rsidP="00B22A3D">
          <w:pPr>
            <w:pStyle w:val="ListeX"/>
            <w:jc w:val="left"/>
          </w:pPr>
          <w:sdt>
            <w:sdtPr>
              <w:id w:val="203299065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voie électronique à l’adresse email suivante : ………………………………</w:t>
          </w:r>
        </w:p>
      </w:sdtContent>
    </w:sdt>
    <w:sdt>
      <w:sdtPr>
        <w:id w:val="1528987511"/>
      </w:sdtPr>
      <w:sdtEndPr/>
      <w:sdtContent>
        <w:p w:rsidR="00B22A3D" w:rsidRPr="00F517BF" w:rsidRDefault="00F2448C"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sdtContent>
    </w:sdt>
    <w:p w:rsidR="00B22A3D" w:rsidRPr="00F517BF" w:rsidRDefault="00B22A3D" w:rsidP="00B22A3D">
      <w:r w:rsidRPr="00F517BF">
        <w:t>Copie sera faite par courrier électronique au référent du marché.</w:t>
      </w:r>
    </w:p>
    <w:p w:rsidR="00B22A3D" w:rsidRPr="00F517BF" w:rsidRDefault="00B22A3D" w:rsidP="00B22A3D">
      <w:r w:rsidRPr="00F517BF">
        <w:t xml:space="preserve">Le référent du marché pourra notifier au prestataire par écrit, sans avenant, </w:t>
      </w:r>
      <w:r w:rsidR="00096AA6">
        <w:t xml:space="preserve">des modalités d’envoi </w:t>
      </w:r>
      <w:r w:rsidRPr="00F517BF">
        <w:t>différentes.</w:t>
      </w:r>
    </w:p>
    <w:p w:rsidR="00B22A3D" w:rsidRPr="00F517BF" w:rsidRDefault="00B22A3D" w:rsidP="00B22A3D">
      <w:pPr>
        <w:pStyle w:val="1NIV1"/>
      </w:pPr>
      <w:bookmarkStart w:id="155" w:name="_Toc57703043"/>
      <w:bookmarkStart w:id="156" w:name="_Toc64622249"/>
      <w:r>
        <w:t>9.3</w:t>
      </w:r>
      <w:r w:rsidRPr="00F517BF">
        <w:t xml:space="preserve"> – INTERVENTION D’UN PRESTATAIRE CONDITIONNANT LE PAIEMENT DES SOMMES DUES</w:t>
      </w:r>
      <w:bookmarkEnd w:id="155"/>
      <w:bookmarkEnd w:id="156"/>
      <w:r w:rsidRPr="00F517BF">
        <w:t xml:space="preserve"> </w:t>
      </w:r>
    </w:p>
    <w:sdt>
      <w:sdtPr>
        <w:id w:val="86886381"/>
      </w:sdtPr>
      <w:sdtEndPr/>
      <w:sdtContent>
        <w:p w:rsidR="00B22A3D" w:rsidRPr="00F517BF" w:rsidRDefault="00F2448C"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sdtContent>
    </w:sdt>
    <w:sdt>
      <w:sdtPr>
        <w:id w:val="-1278558646"/>
      </w:sdtPr>
      <w:sdtEndPr/>
      <w:sdtContent>
        <w:p w:rsidR="00B22A3D" w:rsidRPr="00F517BF" w:rsidRDefault="00F2448C" w:rsidP="00B22A3D">
          <w:pPr>
            <w:pStyle w:val="NormalX"/>
          </w:pPr>
          <w:sdt>
            <w:sdtPr>
              <w:id w:val="730195984"/>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sdtContent>
    </w:sdt>
    <w:p w:rsidR="00B22A3D" w:rsidRPr="00F517BF" w:rsidRDefault="00B22A3D" w:rsidP="00B22A3D">
      <w:pPr>
        <w:pStyle w:val="1NIV1"/>
      </w:pPr>
      <w:bookmarkStart w:id="157" w:name="_Toc57703053"/>
      <w:bookmarkStart w:id="158" w:name="_Toc64622250"/>
      <w:r w:rsidRPr="00F517BF">
        <w:t>9.</w:t>
      </w:r>
      <w:r w:rsidR="00DA4227">
        <w:t>4</w:t>
      </w:r>
      <w:r w:rsidRPr="00F517BF">
        <w:t xml:space="preserve"> – DELAI DE MANDATEMENT</w:t>
      </w:r>
      <w:bookmarkEnd w:id="157"/>
      <w:bookmarkEnd w:id="158"/>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159" w:name="_Toc64622251"/>
      <w:r>
        <w:lastRenderedPageBreak/>
        <w:t xml:space="preserve">ARTICLE 10  - </w:t>
      </w:r>
      <w:r w:rsidR="00A60A15">
        <w:t>M</w:t>
      </w:r>
      <w:r w:rsidR="000E77C0">
        <w:t>A</w:t>
      </w:r>
      <w:r w:rsidR="00A60A15">
        <w:t xml:space="preserve">RCHE SUBSEQUENT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59"/>
    </w:p>
    <w:p w:rsidR="006B1010" w:rsidRDefault="006B1010" w:rsidP="00D60D25">
      <w:pPr>
        <w:pStyle w:val="1NIV1"/>
      </w:pPr>
      <w:bookmarkStart w:id="160" w:name="_Toc64622252"/>
      <w:r>
        <w:t xml:space="preserve">10.1 </w:t>
      </w:r>
      <w:r w:rsidR="00D60D25">
        <w:t>–</w:t>
      </w:r>
      <w:r>
        <w:t xml:space="preserve"> </w:t>
      </w:r>
      <w:r w:rsidR="00D60D25">
        <w:t>DELAI DE GARANTIE</w:t>
      </w:r>
      <w:bookmarkEnd w:id="160"/>
    </w:p>
    <w:sdt>
      <w:sdtPr>
        <w:id w:val="103237250"/>
      </w:sdtPr>
      <w:sdtEndPr/>
      <w:sdtContent>
        <w:p w:rsidR="00CC0C14" w:rsidRDefault="00F2448C"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sdtContent>
    </w:sdt>
    <w:sdt>
      <w:sdtPr>
        <w:id w:val="-1850022802"/>
      </w:sdtPr>
      <w:sdtEndPr/>
      <w:sdtContent>
        <w:p w:rsidR="00731A50" w:rsidRDefault="00F2448C" w:rsidP="00731A50">
          <w:pPr>
            <w:pStyle w:val="NormalX"/>
          </w:pPr>
          <w:sdt>
            <w:sdtPr>
              <w:id w:val="-1078285723"/>
              <w14:checkbox>
                <w14:checked w14:val="0"/>
                <w14:checkedState w14:val="2612" w14:font="MS Gothic"/>
                <w14:uncheckedState w14:val="2610" w14:font="MS Gothic"/>
              </w14:checkbox>
            </w:sdtPr>
            <w:sdtEndPr/>
            <w:sdtContent>
              <w:r w:rsidR="00731A50">
                <w:rPr>
                  <w:rFonts w:ascii="MS Gothic" w:eastAsia="MS Gothic" w:hAnsi="MS Gothic" w:hint="eastAsia"/>
                </w:rPr>
                <w:t>☐</w:t>
              </w:r>
            </w:sdtContent>
          </w:sdt>
          <w:r w:rsidR="00731A50">
            <w:t xml:space="preserve"> Le délai de garantie est de ………. mois à compter de la date d’admission pour chaque prestation. </w:t>
          </w:r>
        </w:p>
        <w:p w:rsidR="00731A50" w:rsidRDefault="00731A50" w:rsidP="00731A50">
          <w:r>
            <w:t xml:space="preserve">Au titre de cette garantie, le titulaire est tenu de remédier à ses frais à la partie ou l’intégralité de la prestation qui serait reconnue défectueuse ou non fonctionnelle. </w:t>
          </w:r>
        </w:p>
        <w:p w:rsidR="00731A50" w:rsidRDefault="00731A50" w:rsidP="00731A50">
          <w:r>
            <w:t xml:space="preserve">Cette garantie couvre tous les frais consécutifs de déplacement de personnel, de conditionnement, d’emballage et de transport nécessaires, qu’il soit procédé à ces opérations au lieu d’utilisation de la prestation ou que le titulaire ait obtenu qu’elles soient faites dans ses locaux. </w:t>
          </w:r>
        </w:p>
        <w:p w:rsidR="00731A50" w:rsidRDefault="00731A50" w:rsidP="00731A50">
          <w:r>
            <w:t xml:space="preserve">La personne publique a droit, en outre, à des dommages et intérêts au cas où, pendant ces opérations, la privation de jouissance entraîne pour elle un préjudice. </w:t>
          </w:r>
        </w:p>
        <w:p w:rsidR="00234C4B" w:rsidRDefault="00731A50" w:rsidP="00731A50">
          <w:r>
            <w:t xml:space="preserve">Le délai dont dispose le titulaire pour effectuer </w:t>
          </w:r>
          <w:r w:rsidR="009C3A19">
            <w:t>les opérations de remédiation</w:t>
          </w:r>
          <w:r>
            <w:t xml:space="preserve"> est fixé par décision de la personne responsable du marché.</w:t>
          </w:r>
        </w:p>
        <w:p w:rsidR="00731A50" w:rsidRDefault="00234C4B" w:rsidP="00731A50">
          <w:r>
            <w:t xml:space="preserve">Si le délai n’est pas respecté, la personne responsable du marché peut, sans mise en demeure, </w:t>
          </w:r>
          <w:r w:rsidR="0014361E">
            <w:t xml:space="preserve">pour tout ou partie des prestations concernées, soit </w:t>
          </w:r>
          <w:r>
            <w:t xml:space="preserve">faire procéder </w:t>
          </w:r>
          <w:r w:rsidR="009C3A19">
            <w:t>à ces opérations</w:t>
          </w:r>
          <w:r>
            <w:t xml:space="preserve"> par un prestataire tiers aux frais du titulaire, sous réserve qu’un tel prestataire existe</w:t>
          </w:r>
          <w:r w:rsidR="0014361E">
            <w:t>, soit proposer une réfaction au titulaire qui le libère de ses obligations de remédiation</w:t>
          </w:r>
          <w:r>
            <w:t>.</w:t>
          </w:r>
        </w:p>
        <w:p w:rsidR="00267292" w:rsidRDefault="00267292" w:rsidP="00267292">
          <w:r>
            <w:t>Si, à l’expiration du délai de garantie, il subsiste des anomalies, désordres ou défauts notifiés au titulaire, non résolus ou qui n’ont pas fait l’objet de réfactions libératoires, le délai de garantie est prolongé jusqu’à leur remédiation complète.</w:t>
          </w:r>
        </w:p>
        <w:p w:rsidR="00731A50" w:rsidRDefault="00234C4B" w:rsidP="00731A50">
          <w:r>
            <w:t>Cette prolongation peut faire elle-même l’objet d’une nouvelle prolongation pour les mêmes raisons.</w:t>
          </w:r>
        </w:p>
      </w:sdtContent>
    </w:sdt>
    <w:p w:rsidR="00936371" w:rsidRDefault="00936371" w:rsidP="00936371">
      <w:pPr>
        <w:pStyle w:val="1NIV1"/>
      </w:pPr>
      <w:bookmarkStart w:id="161" w:name="_Toc64621300"/>
      <w:bookmarkStart w:id="162" w:name="_Toc64622253"/>
      <w:r>
        <w:t>10.2 - GARANTIES FINANCIERES (« SÛRETÉS »)</w:t>
      </w:r>
      <w:bookmarkEnd w:id="161"/>
      <w:bookmarkEnd w:id="162"/>
    </w:p>
    <w:p w:rsidR="00936371" w:rsidRDefault="00936371" w:rsidP="00936371">
      <w:pPr>
        <w:pStyle w:val="2NIV2"/>
      </w:pPr>
      <w:bookmarkStart w:id="163" w:name="_Toc64621301"/>
      <w:bookmarkStart w:id="164" w:name="_Toc64622254"/>
      <w:r>
        <w:t>10.2.1 - Garanties financières prévues au titre du marché</w:t>
      </w:r>
      <w:bookmarkEnd w:id="163"/>
      <w:bookmarkEnd w:id="164"/>
    </w:p>
    <w:sdt>
      <w:sdtPr>
        <w:id w:val="588890841"/>
      </w:sdtPr>
      <w:sdtEndPr/>
      <w:sdtContent>
        <w:p w:rsidR="00936371" w:rsidRDefault="00F2448C" w:rsidP="00936371">
          <w:pPr>
            <w:pStyle w:val="NormalX"/>
          </w:pPr>
          <w:sdt>
            <w:sdtPr>
              <w:id w:val="-536579113"/>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Les prestations n’étant soumises à aucun délai de garantie, aucune garantie financière n’est exigée au titre du marché.</w:t>
          </w:r>
        </w:p>
      </w:sdtContent>
    </w:sdt>
    <w:sdt>
      <w:sdtPr>
        <w:id w:val="-1293519754"/>
      </w:sdtPr>
      <w:sdtEndPr/>
      <w:sdtContent>
        <w:p w:rsidR="00936371" w:rsidRDefault="00F2448C" w:rsidP="00936371">
          <w:pPr>
            <w:pStyle w:val="NormalX"/>
          </w:pPr>
          <w:sdt>
            <w:sdtPr>
              <w:id w:val="1529522446"/>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936371" w:rsidRDefault="00F2448C" w:rsidP="00936371">
          <w:pPr>
            <w:pStyle w:val="NormalX"/>
          </w:pPr>
          <w:sdt>
            <w:sdtPr>
              <w:id w:val="-552385532"/>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936371" w:rsidRDefault="00F2448C" w:rsidP="00936371">
          <w:pPr>
            <w:pStyle w:val="NormalX"/>
          </w:pPr>
          <w:sdt>
            <w:sdtPr>
              <w:id w:val="-1912143278"/>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Les prestations étant soumises à un délai de garantie, le titulaire est tenu de fournir une garantie financière selon les modalités fixées à l’article suivant.</w:t>
          </w:r>
        </w:p>
      </w:sdtContent>
    </w:sdt>
    <w:p w:rsidR="00936371" w:rsidRDefault="00936371" w:rsidP="00936371">
      <w:pPr>
        <w:pStyle w:val="2NIV2"/>
      </w:pPr>
      <w:bookmarkStart w:id="165" w:name="_Toc64621302"/>
      <w:bookmarkStart w:id="166" w:name="_Toc64622255"/>
      <w:r>
        <w:t>10.2.2 – Modalités de mise en place des garanties financières.</w:t>
      </w:r>
      <w:bookmarkEnd w:id="165"/>
      <w:bookmarkEnd w:id="166"/>
    </w:p>
    <w:sdt>
      <w:sdtPr>
        <w:id w:val="-1020700610"/>
      </w:sdtPr>
      <w:sdtEndPr/>
      <w:sdtContent>
        <w:p w:rsidR="00936371" w:rsidRDefault="00F2448C" w:rsidP="00936371">
          <w:pPr>
            <w:pStyle w:val="NormalX"/>
          </w:pPr>
          <w:sdt>
            <w:sdtPr>
              <w:id w:val="1265501664"/>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Sans objet.</w:t>
          </w:r>
        </w:p>
      </w:sdtContent>
    </w:sdt>
    <w:sdt>
      <w:sdtPr>
        <w:id w:val="-241558592"/>
      </w:sdtPr>
      <w:sdtEndPr/>
      <w:sdtContent>
        <w:p w:rsidR="00936371" w:rsidRDefault="00F2448C" w:rsidP="00936371">
          <w:pPr>
            <w:pStyle w:val="NormalX"/>
          </w:pPr>
          <w:sdt>
            <w:sdtPr>
              <w:id w:val="-1369824895"/>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Les garanties financières, appelées aussi sûretés, constituées au titre du marché, peuvent se présenter sous trois formes, au choix du titulaire :</w:t>
          </w:r>
        </w:p>
        <w:p w:rsidR="00936371" w:rsidRDefault="00936371" w:rsidP="00936371">
          <w:pPr>
            <w:pStyle w:val="Listenum"/>
            <w:numPr>
              <w:ilvl w:val="0"/>
              <w:numId w:val="30"/>
            </w:numPr>
          </w:pPr>
          <w:r>
            <w:t>cautionnement (cf. articles 91 à 95 de la délibération n° 424 du 20 mars 2019) ;</w:t>
          </w:r>
        </w:p>
        <w:p w:rsidR="00936371" w:rsidRDefault="00936371" w:rsidP="00936371">
          <w:pPr>
            <w:pStyle w:val="Listenum"/>
            <w:numPr>
              <w:ilvl w:val="0"/>
              <w:numId w:val="30"/>
            </w:numPr>
          </w:pPr>
          <w:r>
            <w:lastRenderedPageBreak/>
            <w:t>retenue de garantie sur acompte, en substitution du cautionnement (cf. article 77 de la même délibération) ;</w:t>
          </w:r>
        </w:p>
        <w:p w:rsidR="00936371" w:rsidRDefault="00936371" w:rsidP="00936371">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936371" w:rsidRDefault="00936371" w:rsidP="00936371">
          <w:r>
            <w:t>Le titulaire fournit en même temps que le 1er décompte correspondant à l’exécution du marché, un cautionnement ou une caution personnelle et solidaire correspondant à 3% du montant initial HT du marché, hors taxes, hors variation de prix, hors avances.</w:t>
          </w:r>
        </w:p>
        <w:p w:rsidR="00B2486A" w:rsidRDefault="00936371" w:rsidP="00936371">
          <w:r>
            <w:t>A défaut, une retenue de garantie du même pourcentage est appliquée aux montants exécutés présentés dans les décomptes jusqu’à concurrence du montant de ce cautionnement, et jusqu’à fourniture éventuelle d’une caution.</w:t>
          </w:r>
        </w:p>
        <w:p w:rsidR="00936371" w:rsidRDefault="00B2486A" w:rsidP="00936371">
          <w:r>
            <w:t>Lorsque le titulaire présente une demande de paiement d’un sous-traitant, il doit obligatoirement présenter une sûreté couvrant ce paiement, faute de quoi la demande est rejetée.</w:t>
          </w:r>
        </w:p>
      </w:sdtContent>
    </w:sdt>
    <w:p w:rsidR="00936371" w:rsidRDefault="00936371" w:rsidP="00936371">
      <w:pPr>
        <w:pStyle w:val="2NIV2"/>
      </w:pPr>
      <w:bookmarkStart w:id="167" w:name="_Toc64621303"/>
      <w:bookmarkStart w:id="168" w:name="_Toc64622256"/>
      <w:r>
        <w:t>10.2.3 – Restitution des garanties financières</w:t>
      </w:r>
      <w:bookmarkEnd w:id="167"/>
      <w:bookmarkEnd w:id="168"/>
    </w:p>
    <w:p w:rsidR="00936371" w:rsidRDefault="00936371" w:rsidP="00936371">
      <w:r>
        <w:t>Les dispositions de l’article 80 de la délibération n° 424 du 20 mars 2019 s’appliquent.</w:t>
      </w:r>
    </w:p>
    <w:p w:rsidR="00936371" w:rsidRDefault="00936371" w:rsidP="00936371">
      <w:pPr>
        <w:pStyle w:val="1NIV1"/>
      </w:pPr>
      <w:bookmarkStart w:id="169" w:name="_Toc64621304"/>
      <w:bookmarkStart w:id="170" w:name="_Toc64622257"/>
      <w:r>
        <w:t>10.3  – ASSURANCES</w:t>
      </w:r>
      <w:bookmarkEnd w:id="169"/>
      <w:bookmarkEnd w:id="170"/>
    </w:p>
    <w:p w:rsidR="00936371" w:rsidRDefault="00936371" w:rsidP="00936371">
      <w:pPr>
        <w:pStyle w:val="2NIV2"/>
      </w:pPr>
      <w:bookmarkStart w:id="171" w:name="_Toc64621305"/>
      <w:bookmarkStart w:id="172" w:name="_Toc64622258"/>
      <w:r>
        <w:t>10.3.1 – Assurance professionnelle</w:t>
      </w:r>
      <w:bookmarkEnd w:id="171"/>
      <w:bookmarkEnd w:id="172"/>
      <w:r>
        <w:t xml:space="preserve"> </w:t>
      </w:r>
    </w:p>
    <w:p w:rsidR="00936371" w:rsidRDefault="00936371" w:rsidP="00936371">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936371" w:rsidRDefault="00936371" w:rsidP="00936371">
      <w:r>
        <w:t>Sur demande écrite du référent du marché, il devra immédiatement produire l’attestation d’assurance correspondante.</w:t>
      </w:r>
    </w:p>
    <w:p w:rsidR="00936371" w:rsidRDefault="00936371" w:rsidP="00936371">
      <w:pPr>
        <w:pStyle w:val="2NIV2"/>
      </w:pPr>
      <w:bookmarkStart w:id="173" w:name="_Toc60312453"/>
      <w:bookmarkStart w:id="174" w:name="_Toc64621306"/>
      <w:bookmarkStart w:id="175" w:name="_Toc64622259"/>
      <w:r>
        <w:t>10.3.2 – Assurance décennale</w:t>
      </w:r>
      <w:bookmarkEnd w:id="173"/>
      <w:bookmarkEnd w:id="174"/>
      <w:bookmarkEnd w:id="175"/>
      <w:r>
        <w:t xml:space="preserve"> </w:t>
      </w:r>
    </w:p>
    <w:sdt>
      <w:sdtPr>
        <w:id w:val="-41673167"/>
      </w:sdtPr>
      <w:sdtEndPr/>
      <w:sdtContent>
        <w:p w:rsidR="00936371" w:rsidRDefault="00F2448C" w:rsidP="00936371">
          <w:pPr>
            <w:pStyle w:val="NormalX"/>
          </w:pPr>
          <w:sdt>
            <w:sdtPr>
              <w:id w:val="-1868598908"/>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Sans objet.</w:t>
          </w:r>
        </w:p>
      </w:sdtContent>
    </w:sdt>
    <w:sdt>
      <w:sdtPr>
        <w:id w:val="1072700312"/>
      </w:sdtPr>
      <w:sdtEndPr/>
      <w:sdtContent>
        <w:p w:rsidR="00936371" w:rsidRDefault="00F2448C" w:rsidP="00936371">
          <w:pPr>
            <w:pStyle w:val="NormalX"/>
          </w:pPr>
          <w:sdt>
            <w:sdtPr>
              <w:id w:val="1058057793"/>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Le prestataire déclare être titulaire d’une assurance décennale, en application des lois </w:t>
          </w:r>
          <w:r w:rsidR="00936371" w:rsidRPr="006F4EA2">
            <w:t>du pays n° 2019-4 du 5 février 2019 relative à la responsabilité et à l'assurance de la construction</w:t>
          </w:r>
          <w:r w:rsidR="00936371">
            <w:t xml:space="preserve"> et n° 2020-4 du 30 janvier 2020 relative à la mise en œuvre de l’obligation d’assurer dans le secteur de la construction.</w:t>
          </w:r>
        </w:p>
        <w:p w:rsidR="00936371" w:rsidRDefault="00936371" w:rsidP="00936371">
          <w:r>
            <w:t>Sur demande écrite du référent du marché, il devra immédiatement produire l’attestation d’assurance correspondante.</w:t>
          </w:r>
        </w:p>
      </w:sdtContent>
    </w:sdt>
    <w:p w:rsidR="00936371" w:rsidRDefault="00936371" w:rsidP="00936371">
      <w:pPr>
        <w:overflowPunct/>
        <w:autoSpaceDE/>
        <w:autoSpaceDN/>
        <w:adjustRightInd/>
        <w:spacing w:before="0" w:after="0"/>
        <w:ind w:left="0"/>
        <w:jc w:val="left"/>
        <w:textAlignment w:val="auto"/>
      </w:pPr>
      <w:r>
        <w:t xml:space="preserve"> </w:t>
      </w:r>
      <w:r>
        <w:br w:type="page"/>
      </w:r>
    </w:p>
    <w:p w:rsidR="00936371" w:rsidRDefault="00936371" w:rsidP="00936371">
      <w:pPr>
        <w:pStyle w:val="0ENTETE"/>
      </w:pPr>
      <w:bookmarkStart w:id="176" w:name="_Toc64621307"/>
      <w:bookmarkStart w:id="177" w:name="_Toc64622260"/>
      <w:r>
        <w:lastRenderedPageBreak/>
        <w:t>ARTICLE  11 – MESURES COERCITIVES</w:t>
      </w:r>
      <w:bookmarkEnd w:id="176"/>
      <w:bookmarkEnd w:id="177"/>
    </w:p>
    <w:p w:rsidR="00936371" w:rsidRDefault="00936371" w:rsidP="00936371">
      <w:pPr>
        <w:pStyle w:val="1NIV1"/>
      </w:pPr>
      <w:bookmarkStart w:id="178" w:name="_Toc64621308"/>
      <w:bookmarkStart w:id="179" w:name="_Toc64622261"/>
      <w:r>
        <w:t>11.1 – MISE EN REGIE</w:t>
      </w:r>
      <w:bookmarkEnd w:id="178"/>
      <w:bookmarkEnd w:id="179"/>
    </w:p>
    <w:p w:rsidR="00936371" w:rsidRDefault="00936371" w:rsidP="00936371">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936371" w:rsidRDefault="00936371" w:rsidP="00936371">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936371" w:rsidRDefault="00936371" w:rsidP="00936371">
      <w:r>
        <w:t>La mise en régie peut consister, au choix de la personne responsable du marché, en l’une ou l’autre des modalités suivantes, ou en une combinaison – éventuellement séquencée - des deux, pour la remédiation complète de la situation de défaut.</w:t>
      </w:r>
    </w:p>
    <w:p w:rsidR="00936371" w:rsidRDefault="00936371" w:rsidP="00936371">
      <w:pPr>
        <w:pStyle w:val="2NIV2"/>
      </w:pPr>
      <w:bookmarkStart w:id="180" w:name="_Toc64621309"/>
      <w:bookmarkStart w:id="181" w:name="_Toc64622262"/>
      <w:r>
        <w:t>11.1.1 – Appropriation des moyens du titulaire</w:t>
      </w:r>
      <w:bookmarkEnd w:id="180"/>
      <w:bookmarkEnd w:id="181"/>
    </w:p>
    <w:p w:rsidR="00936371" w:rsidRDefault="00936371" w:rsidP="00936371">
      <w:r>
        <w:t>La décision de mise en régie précise la date des constatations contradictoires, au cours desquelles sera fait l’inventaire :</w:t>
      </w:r>
    </w:p>
    <w:p w:rsidR="00936371" w:rsidRDefault="00936371" w:rsidP="00936371">
      <w:pPr>
        <w:pStyle w:val="Listenormale"/>
      </w:pPr>
      <w:r>
        <w:t>des prestations réalisées et à terminer ;</w:t>
      </w:r>
    </w:p>
    <w:p w:rsidR="00936371" w:rsidRDefault="00936371" w:rsidP="00936371">
      <w:pPr>
        <w:pStyle w:val="Listenormale"/>
      </w:pPr>
      <w:r>
        <w:t>des moyens humains et matériels que le titulaire devra placer sous la direction de la personne responsable du marché ou d’un tiers à sa charge, pour l’exécution des prestations concernées.</w:t>
      </w:r>
    </w:p>
    <w:p w:rsidR="00936371" w:rsidRDefault="00936371" w:rsidP="00936371">
      <w:r>
        <w:t>Le remboursement des frais engagés par l’acheteur public à cet effet peut être réclamé au titulaire.</w:t>
      </w:r>
    </w:p>
    <w:p w:rsidR="00936371" w:rsidRDefault="00936371" w:rsidP="00936371">
      <w:r>
        <w:t>S’il existe des garanties financières constituées au titre du marché (cf. article 10.2.1 ci-dessus), ce remboursement s’effectue par prélèvement sur ces garanties financières.</w:t>
      </w:r>
    </w:p>
    <w:p w:rsidR="00936371" w:rsidRDefault="00936371" w:rsidP="00936371">
      <w:pPr>
        <w:pStyle w:val="2NIV2"/>
      </w:pPr>
      <w:bookmarkStart w:id="182" w:name="_Toc64621310"/>
      <w:bookmarkStart w:id="183" w:name="_Toc64622263"/>
      <w:r>
        <w:t>11.1.2 – Intervention d’un prestataire tiers</w:t>
      </w:r>
      <w:bookmarkEnd w:id="182"/>
      <w:bookmarkEnd w:id="183"/>
    </w:p>
    <w:p w:rsidR="00936371" w:rsidRDefault="00936371" w:rsidP="00936371">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6103C6" w:rsidRDefault="006103C6" w:rsidP="006103C6">
      <w:r>
        <w:t xml:space="preserve">En cas de marché cadre multi-titulaire, lorsque l’attribution du marché subséquent a fait suite à une mise en concurrence entre les titulaires du marché cadre, l’acheteur public fait appel au titulaire le mieux classé suivant pour se substituer, dans les conditions de son offre. En cas d’impossibilité, il sollicite chaque titulaire dans l’ordre de classement, dans les mêmes conditions. Si aucun titulaire ne peut reprendre les prestations, même après </w:t>
      </w:r>
      <w:proofErr w:type="spellStart"/>
      <w:r>
        <w:t>reconsultation</w:t>
      </w:r>
      <w:proofErr w:type="spellEnd"/>
      <w:r>
        <w:t>, il fait appel au prestataire tiers de son choix.</w:t>
      </w:r>
    </w:p>
    <w:p w:rsidR="00936371" w:rsidRDefault="00936371" w:rsidP="00936371">
      <w:r>
        <w:t>A la fin de l’exécution des prestations, le remboursement des frais engagés par l’acheteur public à cet effet peut être réclamé au titulaire.</w:t>
      </w:r>
    </w:p>
    <w:p w:rsidR="00936371" w:rsidRDefault="00936371" w:rsidP="00936371">
      <w:r>
        <w:t>S’il existe des garanties financières constituées au titre du marché (cf. article 10.2.1 ci-dessus), ce remboursement s’effectue par prélèvement sur ces garanties financières.</w:t>
      </w:r>
    </w:p>
    <w:p w:rsidR="00936371" w:rsidRDefault="00936371" w:rsidP="00936371">
      <w:pPr>
        <w:pStyle w:val="1NIV1"/>
      </w:pPr>
      <w:bookmarkStart w:id="184" w:name="_Toc64621311"/>
      <w:bookmarkStart w:id="185" w:name="_Toc64622264"/>
      <w:r>
        <w:t>11.2 - RESILIATION</w:t>
      </w:r>
      <w:bookmarkEnd w:id="184"/>
      <w:bookmarkEnd w:id="185"/>
    </w:p>
    <w:p w:rsidR="00936371" w:rsidRDefault="00936371" w:rsidP="00936371">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936371" w:rsidRDefault="00936371" w:rsidP="00936371">
      <w:r>
        <w:lastRenderedPageBreak/>
        <w:t>Le défaut d’assurance entraîne également la résiliation du marché de plein droit.</w:t>
      </w:r>
    </w:p>
    <w:p w:rsidR="00936371" w:rsidRDefault="00936371" w:rsidP="00936371">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936371" w:rsidRDefault="00936371" w:rsidP="00936371">
      <w:pPr>
        <w:spacing w:before="80"/>
      </w:pPr>
      <w:r>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186" w:name="_Toc64622265" w:displacedByCustomXml="next"/>
    <w:bookmarkStart w:id="187" w:name="_Toc64621312" w:displacedByCustomXml="next"/>
    <w:sdt>
      <w:sdtPr>
        <w:rPr>
          <w:b w:val="0"/>
          <w:u w:val="none"/>
        </w:rPr>
        <w:id w:val="881288995"/>
      </w:sdtPr>
      <w:sdtEndPr/>
      <w:sdtContent>
        <w:p w:rsidR="00936371" w:rsidRDefault="00F2448C" w:rsidP="00936371">
          <w:pPr>
            <w:pStyle w:val="1NIV1"/>
          </w:pPr>
          <w:sdt>
            <w:sdtPr>
              <w:id w:val="1320146870"/>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11.3 – INTERVENTION D’UN TIERS PENDANT LE DELAI DE GARANTIE</w:t>
          </w:r>
          <w:bookmarkEnd w:id="187"/>
          <w:bookmarkEnd w:id="186"/>
        </w:p>
        <w:p w:rsidR="00936371" w:rsidRDefault="00936371" w:rsidP="00936371">
          <w:r>
            <w:t>S’il est possible de faire intervenir un prestataire tiers en lieu et place du titulaire, les phases suivantes doivent être respectées :</w:t>
          </w:r>
        </w:p>
        <w:p w:rsidR="00936371" w:rsidRDefault="00936371" w:rsidP="00936371">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936371" w:rsidRDefault="00936371" w:rsidP="00936371">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936371" w:rsidRDefault="00936371" w:rsidP="00936371">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936371" w:rsidRDefault="00936371" w:rsidP="00936371">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936371" w:rsidRDefault="00936371" w:rsidP="00936371">
      <w:pPr>
        <w:overflowPunct/>
        <w:autoSpaceDE/>
        <w:autoSpaceDN/>
        <w:adjustRightInd/>
        <w:spacing w:before="0" w:after="0"/>
        <w:ind w:left="0"/>
        <w:jc w:val="left"/>
        <w:textAlignment w:val="auto"/>
      </w:pPr>
      <w:r>
        <w:br w:type="page"/>
      </w:r>
    </w:p>
    <w:p w:rsidR="00936371" w:rsidRDefault="00936371" w:rsidP="00936371">
      <w:pPr>
        <w:pStyle w:val="0ENTETE"/>
      </w:pPr>
      <w:bookmarkStart w:id="188" w:name="_Toc60312454"/>
      <w:bookmarkStart w:id="189" w:name="_Toc64621313"/>
      <w:bookmarkStart w:id="190" w:name="_Toc64622266"/>
      <w:r>
        <w:lastRenderedPageBreak/>
        <w:t>ARTICLE 12  -  PROPRIETE INTELLECTUELLE</w:t>
      </w:r>
      <w:bookmarkEnd w:id="188"/>
      <w:bookmarkEnd w:id="189"/>
      <w:bookmarkEnd w:id="190"/>
    </w:p>
    <w:sdt>
      <w:sdtPr>
        <w:id w:val="1705523002"/>
      </w:sdtPr>
      <w:sdtEndPr/>
      <w:sdtContent>
        <w:p w:rsidR="00936371" w:rsidRDefault="00F2448C" w:rsidP="00936371">
          <w:pPr>
            <w:pStyle w:val="NormalX"/>
          </w:pPr>
          <w:sdt>
            <w:sdtPr>
              <w:id w:val="1146628855"/>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Sans objet.</w:t>
          </w:r>
        </w:p>
      </w:sdtContent>
    </w:sdt>
    <w:sdt>
      <w:sdtPr>
        <w:id w:val="559059338"/>
      </w:sdtPr>
      <w:sdtEndPr/>
      <w:sdtContent>
        <w:p w:rsidR="00936371" w:rsidRDefault="00F2448C" w:rsidP="00936371">
          <w:pPr>
            <w:pStyle w:val="NormalX"/>
          </w:pPr>
          <w:sdt>
            <w:sdtPr>
              <w:id w:val="-1988617610"/>
              <w14:checkbox>
                <w14:checked w14:val="0"/>
                <w14:checkedState w14:val="2612" w14:font="MS Gothic"/>
                <w14:uncheckedState w14:val="2610" w14:font="MS Gothic"/>
              </w14:checkbox>
            </w:sdtPr>
            <w:sdtEndPr/>
            <w:sdtContent>
              <w:r w:rsidR="00936371">
                <w:rPr>
                  <w:rFonts w:ascii="MS Gothic" w:eastAsia="MS Gothic" w:hAnsi="MS Gothic" w:hint="eastAsia"/>
                </w:rPr>
                <w:t>☐</w:t>
              </w:r>
            </w:sdtContent>
          </w:sdt>
          <w:r w:rsidR="00936371">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936371" w:rsidRDefault="00936371" w:rsidP="00936371">
          <w:pPr>
            <w:pStyle w:val="Listenormale"/>
          </w:pPr>
          <w:r>
            <w:t>le droit de représentation (divulgation, communication au public) ;</w:t>
          </w:r>
        </w:p>
        <w:p w:rsidR="00936371" w:rsidRDefault="00936371" w:rsidP="00936371">
          <w:pPr>
            <w:pStyle w:val="Listenormale"/>
          </w:pPr>
          <w:r>
            <w:t>le droit de reproduction (communication indirecte au public) ;</w:t>
          </w:r>
        </w:p>
        <w:p w:rsidR="00936371" w:rsidRDefault="00936371" w:rsidP="00936371">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936371" w:rsidRDefault="00936371" w:rsidP="00936371">
          <w:r>
            <w:t>Les éventuels droits d’exploitation de l’œuvre de conception sont cédés à l’acheteur public à titre non exclusif. Le titulaire peut donc librement en user.</w:t>
          </w:r>
        </w:p>
        <w:p w:rsidR="00936371" w:rsidRDefault="00936371" w:rsidP="00936371">
          <w:r>
            <w:t>Les droits ci-dessus sont cédés jusqu’à 30 ans après la réception des prestations ou des travaux concernant les édifices et ouvrages.</w:t>
          </w:r>
        </w:p>
        <w:p w:rsidR="00936371" w:rsidRDefault="00936371" w:rsidP="00936371">
          <w:r>
            <w:t>L’exercice du droit de représentation s’étend à tous les supports y compris les plateformes numériques sur internet sur l’ensemble des territoires français et sur les territoires non français de la région du Pacifique Ouest.</w:t>
          </w:r>
        </w:p>
      </w:sdtContent>
    </w:sdt>
    <w:p w:rsidR="00936371" w:rsidRDefault="00936371" w:rsidP="00936371">
      <w:pPr>
        <w:pStyle w:val="0ENTETE"/>
      </w:pPr>
      <w:bookmarkStart w:id="191" w:name="_Toc64621314"/>
      <w:bookmarkStart w:id="192" w:name="_Toc64622267"/>
      <w:r>
        <w:t>ARTICLE 13 – PROTECTION  DES DONNEES PERSONNELLES</w:t>
      </w:r>
      <w:bookmarkEnd w:id="191"/>
      <w:bookmarkEnd w:id="192"/>
    </w:p>
    <w:p w:rsidR="00936371" w:rsidRDefault="00936371" w:rsidP="00936371">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936371" w:rsidRDefault="00936371" w:rsidP="00936371">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936371" w:rsidRDefault="00936371" w:rsidP="00936371">
      <w:r>
        <w:t>Le prestataire s’engage notamment à garantir leur confidentialité, par l’adoption de mesures internes liées à son système d’information ou concernant son personnel.</w:t>
      </w:r>
    </w:p>
    <w:p w:rsidR="00936371" w:rsidRDefault="00936371" w:rsidP="00936371">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936371" w:rsidRDefault="00936371" w:rsidP="00936371">
      <w:r>
        <w:t>Il l’informe immédiatement de toute demande des bénéficiaires et de toute situation de violation de la protection des données personnelles.</w:t>
      </w:r>
    </w:p>
    <w:p w:rsidR="00936371" w:rsidRDefault="00936371" w:rsidP="00936371">
      <w:r>
        <w:t>Au terme de la prestation, le prestataire s’engage à détruire toutes les copies des données existantes dans son système d’information et à justifier par écrit de cette destruction.</w:t>
      </w:r>
    </w:p>
    <w:p w:rsidR="00936371" w:rsidRDefault="00936371" w:rsidP="00936371">
      <w:pPr>
        <w:overflowPunct/>
        <w:autoSpaceDE/>
        <w:autoSpaceDN/>
        <w:adjustRightInd/>
        <w:spacing w:before="0" w:after="0"/>
        <w:ind w:left="0"/>
        <w:jc w:val="left"/>
        <w:textAlignment w:val="auto"/>
      </w:pPr>
      <w:r>
        <w:br w:type="page"/>
      </w:r>
    </w:p>
    <w:p w:rsidR="00936371" w:rsidRDefault="00936371" w:rsidP="00936371">
      <w:pPr>
        <w:pStyle w:val="0ENTETE"/>
      </w:pPr>
      <w:bookmarkStart w:id="193" w:name="_Toc64621315"/>
      <w:bookmarkStart w:id="194" w:name="_Toc64622268"/>
      <w:r>
        <w:lastRenderedPageBreak/>
        <w:t>ARTICLE 14 – DEROGATIONS AU CCAG</w:t>
      </w:r>
      <w:bookmarkEnd w:id="193"/>
      <w:bookmarkEnd w:id="194"/>
    </w:p>
    <w:bookmarkEnd w:id="119" w:displacedByCustomXml="next"/>
    <w:bookmarkEnd w:id="118" w:displacedByCustomXml="next"/>
    <w:sdt>
      <w:sdtPr>
        <w:id w:val="-1595465825"/>
      </w:sdtPr>
      <w:sdtEndPr/>
      <w:sdtContent>
        <w:p w:rsidR="002376D8" w:rsidRDefault="00F2448C"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689560978"/>
      </w:sdtPr>
      <w:sdtEndPr/>
      <w:sdtContent>
        <w:p w:rsidR="002376D8" w:rsidRDefault="00F2448C" w:rsidP="002376D8">
          <w:pPr>
            <w:pStyle w:val="NormalX"/>
          </w:pPr>
          <w:sdt>
            <w:sdtPr>
              <w:id w:val="-1385625783"/>
              <w14:checkbox>
                <w14:checked w14:val="0"/>
                <w14:checkedState w14:val="2612" w14:font="MS Gothic"/>
                <w14:uncheckedState w14:val="2610" w14:font="MS Gothic"/>
              </w14:checkbox>
            </w:sdtPr>
            <w:sdtEndPr/>
            <w:sdtContent>
              <w:r w:rsidR="002376D8" w:rsidRPr="001E1B5D">
                <w:rPr>
                  <w:rFonts w:eastAsia="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9F52D3"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w:t>
                </w:r>
                <w:r w:rsidR="00936371">
                  <w:t>1.</w:t>
                </w:r>
                <w:r>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BB6A66">
          <w:footerReference w:type="default" r:id="rId12"/>
          <w:pgSz w:w="11906" w:h="16838"/>
          <w:pgMar w:top="1134" w:right="1417" w:bottom="1417" w:left="1417" w:header="708" w:footer="562" w:gutter="0"/>
          <w:cols w:space="708"/>
          <w:docGrid w:linePitch="360"/>
        </w:sectPr>
      </w:pPr>
    </w:p>
    <w:p w:rsidR="00A60A15" w:rsidRDefault="00A60A15" w:rsidP="00A60A15">
      <w:pPr>
        <w:pStyle w:val="0ENTETE"/>
      </w:pPr>
      <w:bookmarkStart w:id="195" w:name="_Toc64622269"/>
      <w:r>
        <w:lastRenderedPageBreak/>
        <w:t xml:space="preserve">ANNEXE 1 AU CCAP : </w:t>
      </w:r>
      <w:r w:rsidR="004E167F">
        <w:t>MODELE DE MARCHE SUBSEQUENT</w:t>
      </w:r>
      <w:bookmarkEnd w:id="195"/>
    </w:p>
    <w:p w:rsidR="00A60A15" w:rsidRDefault="00A60A15" w:rsidP="00A60A15">
      <w:pPr>
        <w:rPr>
          <w:lang w:eastAsia="fr-FR"/>
        </w:rPr>
        <w:sectPr w:rsidR="00A60A15" w:rsidSect="00DA53C9">
          <w:headerReference w:type="first" r:id="rId13"/>
          <w:footerReference w:type="first" r:id="rId14"/>
          <w:pgSz w:w="11906" w:h="16838"/>
          <w:pgMar w:top="709" w:right="991" w:bottom="993" w:left="993" w:header="284" w:footer="266" w:gutter="0"/>
          <w:pgNumType w:start="1"/>
          <w:cols w:space="708"/>
          <w:titlePg/>
          <w:docGrid w:linePitch="360"/>
        </w:sectPr>
      </w:pPr>
    </w:p>
    <w:p w:rsidR="00A60A15" w:rsidRDefault="00A60A15" w:rsidP="004E167F">
      <w:pPr>
        <w:pStyle w:val="NORM"/>
      </w:pPr>
    </w:p>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4E167F" w:rsidRPr="004E167F" w:rsidTr="001D2CE2">
        <w:tc>
          <w:tcPr>
            <w:tcW w:w="3331"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2835" w:type="dxa"/>
          </w:tcPr>
          <w:p w:rsidR="004E167F" w:rsidRPr="004E167F" w:rsidRDefault="004E167F" w:rsidP="004E167F">
            <w:pPr>
              <w:overflowPunct/>
              <w:autoSpaceDE/>
              <w:autoSpaceDN/>
              <w:adjustRightInd/>
              <w:spacing w:before="0" w:after="0"/>
              <w:ind w:left="0"/>
              <w:jc w:val="center"/>
              <w:textAlignment w:val="auto"/>
              <w:rPr>
                <w:sz w:val="18"/>
                <w:u w:val="single"/>
                <w:lang w:eastAsia="fr-FR"/>
              </w:rPr>
            </w:pPr>
            <w:r w:rsidRPr="004E167F">
              <w:rPr>
                <w:sz w:val="18"/>
                <w:u w:val="single"/>
                <w:lang w:eastAsia="fr-FR"/>
              </w:rPr>
              <w:t>REPUBLIQUE FRANCAISE</w:t>
            </w:r>
          </w:p>
        </w:tc>
        <w:tc>
          <w:tcPr>
            <w:tcW w:w="3260" w:type="dxa"/>
          </w:tcPr>
          <w:p w:rsidR="004E167F" w:rsidRPr="004E167F" w:rsidRDefault="004E167F" w:rsidP="004E167F">
            <w:pPr>
              <w:overflowPunct/>
              <w:autoSpaceDE/>
              <w:autoSpaceDN/>
              <w:adjustRightInd/>
              <w:spacing w:before="0" w:after="0"/>
              <w:ind w:left="0"/>
              <w:textAlignment w:val="auto"/>
              <w:rPr>
                <w:sz w:val="18"/>
                <w:lang w:eastAsia="fr-FR"/>
              </w:rPr>
            </w:pPr>
          </w:p>
        </w:tc>
      </w:tr>
      <w:tr w:rsidR="004E167F" w:rsidRPr="004E167F" w:rsidTr="001D2CE2">
        <w:tc>
          <w:tcPr>
            <w:tcW w:w="3331" w:type="dxa"/>
          </w:tcPr>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Collectivité</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Direction</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Service</w:t>
            </w:r>
          </w:p>
          <w:p w:rsidR="004E167F" w:rsidRPr="004E167F" w:rsidRDefault="004E167F" w:rsidP="004E167F">
            <w:pPr>
              <w:overflowPunct/>
              <w:autoSpaceDE/>
              <w:autoSpaceDN/>
              <w:adjustRightInd/>
              <w:spacing w:before="0" w:after="0"/>
              <w:ind w:left="0" w:right="-70"/>
              <w:jc w:val="center"/>
              <w:textAlignment w:val="auto"/>
              <w:rPr>
                <w:i/>
                <w:color w:val="0070C0"/>
                <w:sz w:val="20"/>
                <w:lang w:eastAsia="fr-FR"/>
              </w:rPr>
            </w:pPr>
          </w:p>
        </w:tc>
        <w:tc>
          <w:tcPr>
            <w:tcW w:w="2835"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3260" w:type="dxa"/>
          </w:tcPr>
          <w:p w:rsidR="004E167F" w:rsidRPr="004E167F" w:rsidRDefault="004E167F" w:rsidP="004E167F">
            <w:pPr>
              <w:overflowPunct/>
              <w:autoSpaceDE/>
              <w:autoSpaceDN/>
              <w:adjustRightInd/>
              <w:spacing w:before="0" w:after="0"/>
              <w:ind w:left="-70" w:right="-70"/>
              <w:jc w:val="center"/>
              <w:textAlignment w:val="auto"/>
              <w:rPr>
                <w:sz w:val="20"/>
                <w:lang w:eastAsia="fr-FR"/>
              </w:rPr>
            </w:pPr>
            <w:r w:rsidRPr="004E167F">
              <w:rPr>
                <w:sz w:val="20"/>
                <w:lang w:eastAsia="fr-FR"/>
              </w:rPr>
              <w:t>Logo</w:t>
            </w:r>
          </w:p>
        </w:tc>
      </w:tr>
    </w:tbl>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MARCHE SUBSEQUENT N°                     </w:t>
      </w:r>
      <w:r w:rsidRPr="004E167F">
        <w:rPr>
          <w:b/>
          <w:color w:val="D9D9D9"/>
          <w:sz w:val="28"/>
          <w:szCs w:val="28"/>
          <w:lang w:eastAsia="fr-FR"/>
        </w:rPr>
        <w:t>.</w:t>
      </w: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Découlant du marché cadre n°                     </w:t>
      </w:r>
      <w:r w:rsidRPr="004E167F">
        <w:rPr>
          <w:b/>
          <w:color w:val="D9D9D9"/>
          <w:sz w:val="28"/>
          <w:szCs w:val="28"/>
          <w:lang w:eastAsia="fr-FR"/>
        </w:rPr>
        <w:t>.</w:t>
      </w:r>
    </w:p>
    <w:p w:rsidR="004E167F" w:rsidRPr="004E167F" w:rsidRDefault="004E167F" w:rsidP="004E167F">
      <w:pPr>
        <w:overflowPunct/>
        <w:autoSpaceDE/>
        <w:autoSpaceDN/>
        <w:adjustRightInd/>
        <w:spacing w:before="0"/>
        <w:ind w:left="1134" w:hanging="1134"/>
        <w:textAlignment w:val="auto"/>
        <w:rPr>
          <w:b/>
          <w:color w:val="0070C0"/>
          <w:lang w:eastAsia="fr-FR"/>
        </w:rPr>
      </w:pPr>
      <w:r w:rsidRPr="004E167F">
        <w:rPr>
          <w:sz w:val="28"/>
          <w:szCs w:val="28"/>
          <w:lang w:eastAsia="fr-FR"/>
        </w:rPr>
        <w:t>OBJET :</w:t>
      </w:r>
      <w:r w:rsidRPr="004E167F">
        <w:rPr>
          <w:b/>
          <w:sz w:val="28"/>
          <w:szCs w:val="28"/>
          <w:lang w:eastAsia="fr-FR"/>
        </w:rPr>
        <w:t xml:space="preserve"> </w:t>
      </w:r>
    </w:p>
    <w:p w:rsidR="004E167F" w:rsidRPr="004E167F" w:rsidRDefault="004E167F" w:rsidP="004E167F">
      <w:pPr>
        <w:overflowPunct/>
        <w:autoSpaceDE/>
        <w:autoSpaceDN/>
        <w:adjustRightInd/>
        <w:spacing w:before="0"/>
        <w:ind w:left="1134" w:hanging="1134"/>
        <w:textAlignment w:val="auto"/>
        <w:rPr>
          <w:b/>
          <w:sz w:val="24"/>
          <w:szCs w:val="28"/>
          <w:lang w:eastAsia="fr-FR"/>
        </w:rPr>
      </w:pPr>
      <w:r w:rsidRPr="004E167F">
        <w:rPr>
          <w:sz w:val="24"/>
          <w:szCs w:val="28"/>
          <w:lang w:eastAsia="fr-FR"/>
        </w:rPr>
        <w:t>LOT :</w:t>
      </w:r>
      <w:r w:rsidRPr="004E167F">
        <w:rPr>
          <w:b/>
          <w:sz w:val="24"/>
          <w:szCs w:val="28"/>
          <w:lang w:eastAsia="fr-FR"/>
        </w:rPr>
        <w:t xml:space="preserve"> </w:t>
      </w:r>
    </w:p>
    <w:p w:rsidR="004A4124" w:rsidRPr="004E167F" w:rsidRDefault="004A4124" w:rsidP="004A4124">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4A4124" w:rsidRPr="004E167F" w:rsidTr="00FC2000">
        <w:tc>
          <w:tcPr>
            <w:tcW w:w="3828"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Maître d’ouvrage :</w:t>
            </w:r>
          </w:p>
        </w:tc>
        <w:tc>
          <w:tcPr>
            <w:tcW w:w="567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828"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Personne responsable du marché :</w:t>
            </w:r>
          </w:p>
        </w:tc>
        <w:tc>
          <w:tcPr>
            <w:tcW w:w="567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828"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Personne visée à l’article 101 de la délibération n° 424 du 20 mars 2019 :</w:t>
            </w:r>
          </w:p>
        </w:tc>
        <w:tc>
          <w:tcPr>
            <w:tcW w:w="567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828"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Ordonnateur délégué :</w:t>
            </w:r>
          </w:p>
        </w:tc>
        <w:tc>
          <w:tcPr>
            <w:tcW w:w="567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828" w:type="dxa"/>
            <w:shd w:val="clear" w:color="auto" w:fill="auto"/>
          </w:tcPr>
          <w:p w:rsidR="004A4124" w:rsidRPr="004E167F" w:rsidRDefault="004A4124" w:rsidP="00FC2000">
            <w:pPr>
              <w:overflowPunct/>
              <w:autoSpaceDE/>
              <w:autoSpaceDN/>
              <w:adjustRightInd/>
              <w:spacing w:before="40" w:after="40"/>
              <w:ind w:left="0" w:right="-70"/>
              <w:textAlignment w:val="auto"/>
              <w:rPr>
                <w:lang w:eastAsia="fr-FR"/>
              </w:rPr>
            </w:pPr>
            <w:r w:rsidRPr="004E167F">
              <w:rPr>
                <w:lang w:eastAsia="fr-FR"/>
              </w:rPr>
              <w:t>Comptable assignataire des paiements :</w:t>
            </w:r>
          </w:p>
        </w:tc>
        <w:tc>
          <w:tcPr>
            <w:tcW w:w="567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bl>
    <w:p w:rsidR="004A4124" w:rsidRPr="004E167F" w:rsidRDefault="004A4124" w:rsidP="004A4124">
      <w:pPr>
        <w:overflowPunct/>
        <w:autoSpaceDE/>
        <w:autoSpaceDN/>
        <w:adjustRightInd/>
        <w:spacing w:before="0" w:after="0" w:line="288" w:lineRule="auto"/>
        <w:ind w:left="0"/>
        <w:textAlignment w:val="auto"/>
        <w:rPr>
          <w:lang w:eastAsia="fr-FR"/>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Budget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r w:rsidRPr="004E167F">
              <w:rPr>
                <w:b/>
                <w:noProof/>
                <w:sz w:val="21"/>
                <w:szCs w:val="21"/>
                <w:lang w:eastAsia="fr-FR"/>
              </w:rPr>
              <mc:AlternateContent>
                <mc:Choice Requires="wps">
                  <w:drawing>
                    <wp:anchor distT="0" distB="0" distL="114300" distR="114300" simplePos="0" relativeHeight="251674112" behindDoc="1" locked="1" layoutInCell="1" allowOverlap="1" wp14:anchorId="14A85AF4" wp14:editId="19B60481">
                      <wp:simplePos x="0" y="0"/>
                      <wp:positionH relativeFrom="page">
                        <wp:posOffset>1666875</wp:posOffset>
                      </wp:positionH>
                      <wp:positionV relativeFrom="page">
                        <wp:posOffset>-163830</wp:posOffset>
                      </wp:positionV>
                      <wp:extent cx="2811145" cy="124904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cap="flat" cmpd="sng" algn="ctr">
                                <a:solidFill>
                                  <a:sysClr val="window" lastClr="FFFFFF">
                                    <a:lumMod val="75000"/>
                                  </a:sysClr>
                                </a:solidFill>
                                <a:prstDash val="dash"/>
                              </a:ln>
                              <a:effectLst/>
                            </wps:spPr>
                            <wps:txbx>
                              <w:txbxContent>
                                <w:p w:rsidR="001C5FBB" w:rsidRPr="002A6A71" w:rsidRDefault="001C5FBB" w:rsidP="004A4124">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131.25pt;margin-top:-12.9pt;width:221.35pt;height:98.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" filled="f" strokecolor="#bfbfbf" strokeweight=".25pt">
                      <v:stroke dashstyle="dash"/>
                      <v:textbox inset="1mm,.5mm,1mm,1mm">
                        <w:txbxContent>
                          <w:p w:rsidR="001C5FBB" w:rsidRPr="002A6A71" w:rsidRDefault="001C5FBB" w:rsidP="004A4124">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Exercice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Chapitre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Compte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Article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Opération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10" w:type="dxa"/>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AP :</w:t>
            </w:r>
          </w:p>
        </w:tc>
        <w:tc>
          <w:tcPr>
            <w:tcW w:w="2410" w:type="dxa"/>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r w:rsidRPr="004E167F">
              <w:rPr>
                <w:noProof/>
                <w:sz w:val="18"/>
                <w:szCs w:val="24"/>
                <w:lang w:eastAsia="fr-FR"/>
              </w:rPr>
              <mc:AlternateContent>
                <mc:Choice Requires="wps">
                  <w:drawing>
                    <wp:anchor distT="0" distB="0" distL="114300" distR="114300" simplePos="0" relativeHeight="251673088" behindDoc="0" locked="1" layoutInCell="1" allowOverlap="1" wp14:anchorId="76D795BD" wp14:editId="47985B70">
                      <wp:simplePos x="0" y="0"/>
                      <wp:positionH relativeFrom="page">
                        <wp:posOffset>1671955</wp:posOffset>
                      </wp:positionH>
                      <wp:positionV relativeFrom="page">
                        <wp:posOffset>-161925</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cap="flat" cmpd="sng" algn="ctr">
                                <a:solidFill>
                                  <a:sysClr val="window" lastClr="FFFFFF">
                                    <a:lumMod val="75000"/>
                                  </a:sysClr>
                                </a:solidFill>
                                <a:prstDash val="dash"/>
                              </a:ln>
                              <a:effectLst/>
                            </wps:spPr>
                            <wps:txbx>
                              <w:txbxContent>
                                <w:p w:rsidR="001C5FBB" w:rsidRPr="002A6A71" w:rsidRDefault="001C5FBB" w:rsidP="004A4124">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1.65pt;margin-top:-12.75pt;width:221.35pt;height:14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" filled="f" strokecolor="#bfbfbf" strokeweight=".25pt">
                      <v:stroke dashstyle="dash"/>
                      <v:textbox inset="1mm,.5mm,1mm,1mm">
                        <w:txbxContent>
                          <w:p w:rsidR="001C5FBB" w:rsidRPr="002A6A71" w:rsidRDefault="001C5FBB" w:rsidP="004A4124">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4A4124" w:rsidRPr="004E167F" w:rsidRDefault="004A4124" w:rsidP="004A4124">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713"/>
        <w:gridCol w:w="1694"/>
        <w:gridCol w:w="290"/>
        <w:gridCol w:w="2128"/>
        <w:gridCol w:w="2267"/>
      </w:tblGrid>
      <w:tr w:rsidR="004A4124" w:rsidRPr="004E167F" w:rsidTr="00FC2000">
        <w:tc>
          <w:tcPr>
            <w:tcW w:w="4813" w:type="dxa"/>
            <w:gridSpan w:val="3"/>
            <w:tcBorders>
              <w:bottom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r w:rsidRPr="004E167F">
              <w:rPr>
                <w:lang w:eastAsia="fr-FR"/>
              </w:rPr>
              <w:t>Marché subséquent standard</w:t>
            </w:r>
            <w:r w:rsidRPr="004E167F">
              <w:rPr>
                <w:bCs/>
                <w:lang w:eastAsia="fr-FR"/>
              </w:rPr>
              <w:t xml:space="preserve"> à quantités définies</w:t>
            </w:r>
          </w:p>
        </w:tc>
        <w:tc>
          <w:tcPr>
            <w:tcW w:w="290" w:type="dxa"/>
            <w:tcBorders>
              <w:top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lang w:eastAsia="fr-FR"/>
              </w:rPr>
            </w:pP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72"/>
              <w:textAlignment w:val="auto"/>
              <w:rPr>
                <w:lang w:eastAsia="fr-FR"/>
              </w:rPr>
            </w:pPr>
            <w:r w:rsidRPr="004E167F">
              <w:rPr>
                <w:lang w:eastAsia="fr-FR"/>
              </w:rPr>
              <w:t>Délai :</w:t>
            </w:r>
          </w:p>
        </w:tc>
        <w:tc>
          <w:tcPr>
            <w:tcW w:w="2407" w:type="dxa"/>
            <w:gridSpan w:val="2"/>
            <w:tcBorders>
              <w:top w:val="single" w:sz="4" w:space="0" w:color="auto"/>
              <w:left w:val="single" w:sz="4" w:space="0" w:color="auto"/>
              <w:bottom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jc w:val="right"/>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72"/>
              <w:textAlignment w:val="auto"/>
              <w:rPr>
                <w:lang w:eastAsia="fr-FR"/>
              </w:rPr>
            </w:pPr>
            <w:r w:rsidRPr="004E167F">
              <w:rPr>
                <w:lang w:eastAsia="fr-FR"/>
              </w:rPr>
              <w:t xml:space="preserve">Montant global </w:t>
            </w:r>
            <w:r>
              <w:rPr>
                <w:lang w:eastAsia="fr-FR"/>
              </w:rPr>
              <w:t>HT</w:t>
            </w:r>
            <w:r w:rsidRPr="004E167F">
              <w:rPr>
                <w:lang w:eastAsia="fr-FR"/>
              </w:rPr>
              <w:t xml:space="preserve"> :</w:t>
            </w:r>
          </w:p>
        </w:tc>
        <w:tc>
          <w:tcPr>
            <w:tcW w:w="2407" w:type="dxa"/>
            <w:gridSpan w:val="2"/>
            <w:tcBorders>
              <w:top w:val="single" w:sz="4" w:space="0" w:color="auto"/>
              <w:left w:val="single" w:sz="4" w:space="0" w:color="auto"/>
              <w:bottom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72"/>
              <w:textAlignment w:val="auto"/>
              <w:rPr>
                <w:lang w:eastAsia="fr-FR"/>
              </w:rPr>
            </w:pPr>
            <w:r>
              <w:rPr>
                <w:lang w:eastAsia="fr-FR"/>
              </w:rPr>
              <w:t>Montant indicatif TTC :</w:t>
            </w:r>
          </w:p>
        </w:tc>
        <w:tc>
          <w:tcPr>
            <w:tcW w:w="2407" w:type="dxa"/>
            <w:gridSpan w:val="2"/>
            <w:tcBorders>
              <w:top w:val="single" w:sz="4" w:space="0" w:color="auto"/>
              <w:left w:val="single" w:sz="4" w:space="0" w:color="auto"/>
              <w:bottom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06" w:type="dxa"/>
            <w:tcBorders>
              <w:top w:val="single" w:sz="4" w:space="0" w:color="auto"/>
              <w:left w:val="nil"/>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296"/>
              <w:textAlignment w:val="auto"/>
              <w:rPr>
                <w:lang w:eastAsia="fr-FR"/>
              </w:rPr>
            </w:pPr>
          </w:p>
        </w:tc>
        <w:tc>
          <w:tcPr>
            <w:tcW w:w="2407" w:type="dxa"/>
            <w:gridSpan w:val="2"/>
            <w:tcBorders>
              <w:top w:val="single" w:sz="4" w:space="0" w:color="auto"/>
              <w:left w:val="nil"/>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Marché subséquent approuvé le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lang w:eastAsia="fr-FR"/>
              </w:rPr>
            </w:pPr>
          </w:p>
        </w:tc>
        <w:tc>
          <w:tcPr>
            <w:tcW w:w="290" w:type="dxa"/>
            <w:tcBorders>
              <w:top w:val="nil"/>
              <w:left w:val="single" w:sz="4" w:space="0" w:color="auto"/>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jc w:val="right"/>
              <w:textAlignment w:val="auto"/>
              <w:rPr>
                <w:lang w:eastAsia="fr-FR"/>
              </w:rPr>
            </w:pPr>
            <w:r w:rsidRPr="004E167F">
              <w:rPr>
                <w:lang w:eastAsia="fr-FR"/>
              </w:rPr>
              <w:t>notifié le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06" w:type="dxa"/>
            <w:tcBorders>
              <w:top w:val="single" w:sz="4" w:space="0" w:color="auto"/>
              <w:left w:val="nil"/>
              <w:bottom w:val="nil"/>
              <w:right w:val="nil"/>
            </w:tcBorders>
            <w:shd w:val="clear" w:color="auto" w:fill="auto"/>
          </w:tcPr>
          <w:p w:rsidR="004A4124" w:rsidRPr="004E167F" w:rsidRDefault="004A4124" w:rsidP="00FC2000">
            <w:pPr>
              <w:overflowPunct/>
              <w:autoSpaceDE/>
              <w:autoSpaceDN/>
              <w:adjustRightInd/>
              <w:spacing w:before="40" w:after="40"/>
              <w:ind w:left="296"/>
              <w:textAlignment w:val="auto"/>
              <w:rPr>
                <w:lang w:eastAsia="fr-FR"/>
              </w:rPr>
            </w:pPr>
          </w:p>
        </w:tc>
        <w:tc>
          <w:tcPr>
            <w:tcW w:w="2407" w:type="dxa"/>
            <w:gridSpan w:val="2"/>
            <w:tcBorders>
              <w:top w:val="single" w:sz="4" w:space="0" w:color="auto"/>
              <w:left w:val="nil"/>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nil"/>
              <w:left w:val="nil"/>
              <w:bottom w:val="single" w:sz="4" w:space="0" w:color="auto"/>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nil"/>
              <w:left w:val="nil"/>
              <w:bottom w:val="single" w:sz="4" w:space="0" w:color="auto"/>
              <w:right w:val="nil"/>
            </w:tcBorders>
          </w:tcPr>
          <w:p w:rsidR="004A4124" w:rsidRPr="004E167F" w:rsidRDefault="004A4124" w:rsidP="00FC2000">
            <w:pPr>
              <w:overflowPunct/>
              <w:autoSpaceDE/>
              <w:autoSpaceDN/>
              <w:adjustRightInd/>
              <w:spacing w:before="40" w:after="40"/>
              <w:ind w:left="0"/>
              <w:textAlignment w:val="auto"/>
              <w:rPr>
                <w:lang w:eastAsia="fr-FR"/>
              </w:rPr>
            </w:pPr>
          </w:p>
        </w:tc>
        <w:tc>
          <w:tcPr>
            <w:tcW w:w="2267" w:type="dxa"/>
            <w:tcBorders>
              <w:top w:val="nil"/>
              <w:left w:val="nil"/>
              <w:bottom w:val="single" w:sz="4" w:space="0" w:color="auto"/>
              <w:right w:val="nil"/>
            </w:tcBorders>
          </w:tcPr>
          <w:p w:rsidR="004A4124" w:rsidRPr="004E167F" w:rsidRDefault="004A4124" w:rsidP="00FC2000">
            <w:pPr>
              <w:overflowPunct/>
              <w:autoSpaceDE/>
              <w:autoSpaceDN/>
              <w:adjustRightInd/>
              <w:spacing w:before="40" w:after="40"/>
              <w:ind w:left="0"/>
              <w:textAlignment w:val="auto"/>
              <w:rPr>
                <w:b/>
                <w:bCs/>
                <w:lang w:eastAsia="fr-FR"/>
              </w:rPr>
            </w:pPr>
          </w:p>
        </w:tc>
      </w:tr>
      <w:tr w:rsidR="004A4124" w:rsidRPr="004E167F" w:rsidTr="00FC2000">
        <w:tc>
          <w:tcPr>
            <w:tcW w:w="2406" w:type="dxa"/>
            <w:tcBorders>
              <w:top w:val="nil"/>
              <w:left w:val="nil"/>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296"/>
              <w:textAlignment w:val="auto"/>
              <w:rPr>
                <w:lang w:eastAsia="fr-FR"/>
              </w:rPr>
            </w:pPr>
          </w:p>
        </w:tc>
        <w:tc>
          <w:tcPr>
            <w:tcW w:w="2407" w:type="dxa"/>
            <w:gridSpan w:val="2"/>
            <w:tcBorders>
              <w:top w:val="single" w:sz="4" w:space="0" w:color="auto"/>
              <w:left w:val="single" w:sz="4" w:space="0" w:color="auto"/>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jc w:val="center"/>
              <w:textAlignment w:val="auto"/>
              <w:rPr>
                <w:bCs/>
                <w:lang w:eastAsia="fr-FR"/>
              </w:rPr>
            </w:pPr>
            <w:r w:rsidRPr="004E167F">
              <w:rPr>
                <w:bCs/>
                <w:lang w:eastAsia="fr-FR"/>
              </w:rPr>
              <w:t>Nom</w:t>
            </w:r>
          </w:p>
        </w:tc>
        <w:tc>
          <w:tcPr>
            <w:tcW w:w="290" w:type="dxa"/>
            <w:tcBorders>
              <w:top w:val="single" w:sz="4" w:space="0" w:color="auto"/>
              <w:left w:val="nil"/>
              <w:bottom w:val="single" w:sz="4" w:space="0" w:color="auto"/>
              <w:right w:val="single" w:sz="4" w:space="0" w:color="auto"/>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single" w:sz="4" w:space="0" w:color="auto"/>
              <w:left w:val="single" w:sz="4" w:space="0" w:color="auto"/>
              <w:bottom w:val="single" w:sz="4" w:space="0" w:color="auto"/>
              <w:right w:val="single" w:sz="4" w:space="0" w:color="auto"/>
            </w:tcBorders>
          </w:tcPr>
          <w:p w:rsidR="004A4124" w:rsidRPr="004E167F" w:rsidRDefault="004A4124" w:rsidP="00FC2000">
            <w:pPr>
              <w:overflowPunct/>
              <w:autoSpaceDE/>
              <w:autoSpaceDN/>
              <w:adjustRightInd/>
              <w:spacing w:before="40" w:after="40"/>
              <w:ind w:left="0"/>
              <w:jc w:val="center"/>
              <w:textAlignment w:val="auto"/>
              <w:rPr>
                <w:lang w:eastAsia="fr-FR"/>
              </w:rPr>
            </w:pPr>
            <w:r w:rsidRPr="004E167F">
              <w:rPr>
                <w:lang w:eastAsia="fr-FR"/>
              </w:rPr>
              <w:t>Montant propre HT</w:t>
            </w:r>
          </w:p>
        </w:tc>
        <w:tc>
          <w:tcPr>
            <w:tcW w:w="2267" w:type="dxa"/>
            <w:tcBorders>
              <w:top w:val="single" w:sz="4" w:space="0" w:color="auto"/>
              <w:left w:val="single" w:sz="4" w:space="0" w:color="auto"/>
              <w:bottom w:val="single" w:sz="4" w:space="0" w:color="auto"/>
              <w:right w:val="single" w:sz="4" w:space="0" w:color="auto"/>
            </w:tcBorders>
          </w:tcPr>
          <w:p w:rsidR="004A4124" w:rsidRPr="004E167F" w:rsidRDefault="004A4124" w:rsidP="00FC2000">
            <w:pPr>
              <w:overflowPunct/>
              <w:autoSpaceDE/>
              <w:autoSpaceDN/>
              <w:adjustRightInd/>
              <w:spacing w:before="40" w:after="40"/>
              <w:ind w:left="0"/>
              <w:jc w:val="center"/>
              <w:textAlignment w:val="auto"/>
              <w:rPr>
                <w:lang w:eastAsia="fr-FR"/>
              </w:rPr>
            </w:pPr>
            <w:r w:rsidRPr="004E167F">
              <w:rPr>
                <w:lang w:eastAsia="fr-FR"/>
              </w:rPr>
              <w:t xml:space="preserve">Montant </w:t>
            </w:r>
            <w:r>
              <w:rPr>
                <w:lang w:eastAsia="fr-FR"/>
              </w:rPr>
              <w:t>indicatif</w:t>
            </w:r>
            <w:r w:rsidRPr="004E167F">
              <w:rPr>
                <w:lang w:eastAsia="fr-FR"/>
              </w:rPr>
              <w:t xml:space="preserve"> TTC</w:t>
            </w: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sidRPr="004E167F">
              <w:rPr>
                <w:lang w:eastAsia="fr-FR"/>
              </w:rPr>
              <w:t>Titulaire :</w:t>
            </w:r>
          </w:p>
        </w:tc>
        <w:tc>
          <w:tcPr>
            <w:tcW w:w="2407" w:type="dxa"/>
            <w:gridSpan w:val="2"/>
            <w:tcBorders>
              <w:top w:val="single" w:sz="4" w:space="0" w:color="auto"/>
              <w:left w:val="single" w:sz="4" w:space="0" w:color="auto"/>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single" w:sz="4" w:space="0" w:color="auto"/>
              <w:left w:val="nil"/>
              <w:bottom w:val="single" w:sz="4" w:space="0" w:color="auto"/>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single" w:sz="4" w:space="0" w:color="auto"/>
              <w:bottom w:val="single" w:sz="4" w:space="0" w:color="auto"/>
              <w:right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c>
          <w:tcPr>
            <w:tcW w:w="2267" w:type="dxa"/>
            <w:tcBorders>
              <w:top w:val="single" w:sz="4" w:space="0" w:color="auto"/>
              <w:left w:val="single" w:sz="4" w:space="0" w:color="auto"/>
              <w:bottom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Pr>
                <w:lang w:eastAsia="fr-FR"/>
              </w:rPr>
              <w:t>Sous-traitant 1 (ST1)</w:t>
            </w:r>
          </w:p>
        </w:tc>
        <w:tc>
          <w:tcPr>
            <w:tcW w:w="2407" w:type="dxa"/>
            <w:gridSpan w:val="2"/>
            <w:tcBorders>
              <w:top w:val="single" w:sz="4" w:space="0" w:color="auto"/>
              <w:left w:val="single" w:sz="4" w:space="0" w:color="auto"/>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single" w:sz="4" w:space="0" w:color="auto"/>
              <w:left w:val="nil"/>
              <w:bottom w:val="single" w:sz="4" w:space="0" w:color="auto"/>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single" w:sz="4" w:space="0" w:color="auto"/>
              <w:bottom w:val="single" w:sz="4" w:space="0" w:color="auto"/>
              <w:right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c>
          <w:tcPr>
            <w:tcW w:w="2267" w:type="dxa"/>
            <w:tcBorders>
              <w:top w:val="single" w:sz="4" w:space="0" w:color="auto"/>
              <w:left w:val="single" w:sz="4" w:space="0" w:color="auto"/>
              <w:bottom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r>
      <w:tr w:rsidR="004A4124" w:rsidRPr="004E167F" w:rsidTr="00FC2000">
        <w:tc>
          <w:tcPr>
            <w:tcW w:w="2406" w:type="dxa"/>
            <w:tcBorders>
              <w:top w:val="single" w:sz="4" w:space="0" w:color="auto"/>
              <w:bottom w:val="single" w:sz="4" w:space="0" w:color="auto"/>
              <w:right w:val="single" w:sz="4" w:space="0" w:color="auto"/>
            </w:tcBorders>
            <w:shd w:val="clear" w:color="auto" w:fill="auto"/>
          </w:tcPr>
          <w:p w:rsidR="004A4124" w:rsidRPr="004E167F" w:rsidRDefault="004A4124" w:rsidP="00FC2000">
            <w:pPr>
              <w:overflowPunct/>
              <w:autoSpaceDE/>
              <w:autoSpaceDN/>
              <w:adjustRightInd/>
              <w:spacing w:before="40" w:after="40"/>
              <w:ind w:left="0"/>
              <w:textAlignment w:val="auto"/>
              <w:rPr>
                <w:lang w:eastAsia="fr-FR"/>
              </w:rPr>
            </w:pPr>
            <w:r>
              <w:rPr>
                <w:lang w:eastAsia="fr-FR"/>
              </w:rPr>
              <w:t>Sous-traitant 2 (ST2)</w:t>
            </w:r>
          </w:p>
        </w:tc>
        <w:tc>
          <w:tcPr>
            <w:tcW w:w="2407" w:type="dxa"/>
            <w:gridSpan w:val="2"/>
            <w:tcBorders>
              <w:top w:val="single" w:sz="4" w:space="0" w:color="auto"/>
              <w:left w:val="single" w:sz="4" w:space="0" w:color="auto"/>
              <w:bottom w:val="single" w:sz="4" w:space="0" w:color="auto"/>
              <w:right w:val="nil"/>
            </w:tcBorders>
            <w:shd w:val="clear" w:color="auto" w:fill="auto"/>
          </w:tcPr>
          <w:p w:rsidR="004A4124" w:rsidRPr="004E167F" w:rsidRDefault="004A4124" w:rsidP="00FC2000">
            <w:pPr>
              <w:overflowPunct/>
              <w:autoSpaceDE/>
              <w:autoSpaceDN/>
              <w:adjustRightInd/>
              <w:spacing w:before="40" w:after="40"/>
              <w:ind w:left="0"/>
              <w:textAlignment w:val="auto"/>
              <w:rPr>
                <w:b/>
                <w:bCs/>
                <w:lang w:eastAsia="fr-FR"/>
              </w:rPr>
            </w:pPr>
          </w:p>
        </w:tc>
        <w:tc>
          <w:tcPr>
            <w:tcW w:w="290" w:type="dxa"/>
            <w:tcBorders>
              <w:top w:val="single" w:sz="4" w:space="0" w:color="auto"/>
              <w:left w:val="nil"/>
              <w:bottom w:val="single" w:sz="4" w:space="0" w:color="auto"/>
            </w:tcBorders>
          </w:tcPr>
          <w:p w:rsidR="004A4124" w:rsidRPr="004E167F" w:rsidRDefault="004A4124" w:rsidP="00FC2000">
            <w:pPr>
              <w:overflowPunct/>
              <w:autoSpaceDE/>
              <w:autoSpaceDN/>
              <w:adjustRightInd/>
              <w:spacing w:before="40" w:after="40"/>
              <w:ind w:left="0"/>
              <w:textAlignment w:val="auto"/>
              <w:rPr>
                <w:b/>
                <w:bCs/>
                <w:lang w:eastAsia="fr-FR"/>
              </w:rPr>
            </w:pPr>
          </w:p>
        </w:tc>
        <w:tc>
          <w:tcPr>
            <w:tcW w:w="2128" w:type="dxa"/>
            <w:tcBorders>
              <w:top w:val="single" w:sz="4" w:space="0" w:color="auto"/>
              <w:bottom w:val="single" w:sz="4" w:space="0" w:color="auto"/>
              <w:right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c>
          <w:tcPr>
            <w:tcW w:w="2267" w:type="dxa"/>
            <w:tcBorders>
              <w:top w:val="single" w:sz="4" w:space="0" w:color="auto"/>
              <w:left w:val="single" w:sz="4" w:space="0" w:color="auto"/>
              <w:bottom w:val="single" w:sz="4" w:space="0" w:color="auto"/>
            </w:tcBorders>
          </w:tcPr>
          <w:p w:rsidR="004A4124" w:rsidRPr="004E167F" w:rsidRDefault="004A4124" w:rsidP="00FC2000">
            <w:pPr>
              <w:overflowPunct/>
              <w:autoSpaceDE/>
              <w:autoSpaceDN/>
              <w:adjustRightInd/>
              <w:spacing w:before="40" w:after="40"/>
              <w:ind w:left="0"/>
              <w:textAlignment w:val="auto"/>
              <w:rPr>
                <w:sz w:val="20"/>
                <w:lang w:eastAsia="fr-FR"/>
              </w:rPr>
            </w:pPr>
          </w:p>
        </w:tc>
      </w:tr>
    </w:tbl>
    <w:p w:rsidR="004A4124" w:rsidRPr="004E167F" w:rsidRDefault="004A4124" w:rsidP="004A4124">
      <w:pPr>
        <w:overflowPunct/>
        <w:autoSpaceDE/>
        <w:autoSpaceDN/>
        <w:adjustRightInd/>
        <w:spacing w:before="0" w:after="200" w:line="276" w:lineRule="auto"/>
        <w:ind w:left="0"/>
        <w:jc w:val="left"/>
        <w:textAlignment w:val="auto"/>
        <w:rPr>
          <w:b/>
          <w:lang w:eastAsia="fr-FR"/>
        </w:rPr>
      </w:pPr>
      <w:r w:rsidRPr="004E167F">
        <w:rPr>
          <w:b/>
          <w:lang w:eastAsia="fr-FR"/>
        </w:rPr>
        <w:br w:type="page"/>
      </w:r>
    </w:p>
    <w:p w:rsidR="004E167F" w:rsidRPr="004E167F" w:rsidRDefault="004E167F" w:rsidP="004E167F">
      <w:pPr>
        <w:overflowPunct/>
        <w:autoSpaceDE/>
        <w:autoSpaceDN/>
        <w:adjustRightInd/>
        <w:spacing w:before="0" w:after="200" w:line="276" w:lineRule="auto"/>
        <w:ind w:left="0"/>
        <w:jc w:val="left"/>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MARCHE SUBSEQUENT A UN MARCHE CADRE</w:t>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ACTE D’ENGAGEMENT (AE)</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1 – CONTRACTANTS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FC2000" w:rsidRPr="004E167F" w:rsidRDefault="00FC2000" w:rsidP="00FC2000">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Je soussigné,</w:t>
      </w:r>
    </w:p>
    <w:p w:rsidR="00FC2000" w:rsidRPr="004E167F" w:rsidRDefault="00FC2000" w:rsidP="00FC2000">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FC2000" w:rsidRPr="004E167F" w:rsidTr="00FC2000">
        <w:tc>
          <w:tcPr>
            <w:tcW w:w="3114" w:type="dxa"/>
            <w:gridSpan w:val="6"/>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r w:rsidR="00FC2000" w:rsidRPr="004E167F" w:rsidTr="00FC2000">
        <w:tc>
          <w:tcPr>
            <w:tcW w:w="9214" w:type="dxa"/>
            <w:gridSpan w:val="9"/>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FC2000" w:rsidRPr="004E167F" w:rsidTr="00FC2000">
        <w:tc>
          <w:tcPr>
            <w:tcW w:w="283" w:type="dxa"/>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r w:rsidR="00FC2000" w:rsidRPr="004E167F" w:rsidTr="00FC2000">
        <w:tc>
          <w:tcPr>
            <w:tcW w:w="283" w:type="dxa"/>
          </w:tcPr>
          <w:p w:rsidR="00FC2000" w:rsidRPr="004E167F" w:rsidRDefault="00FC2000" w:rsidP="00FC2000">
            <w:pPr>
              <w:overflowPunct/>
              <w:autoSpaceDE/>
              <w:autoSpaceDN/>
              <w:adjustRightInd/>
              <w:spacing w:before="0" w:after="0" w:line="288" w:lineRule="auto"/>
              <w:ind w:left="0"/>
              <w:textAlignment w:val="auto"/>
              <w:rPr>
                <w:lang w:eastAsia="fr-FR"/>
              </w:rPr>
            </w:pPr>
          </w:p>
        </w:tc>
        <w:tc>
          <w:tcPr>
            <w:tcW w:w="1842" w:type="dxa"/>
            <w:gridSpan w:val="3"/>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r w:rsidR="00FC2000" w:rsidRPr="004E167F" w:rsidTr="00FC2000">
        <w:tc>
          <w:tcPr>
            <w:tcW w:w="563" w:type="dxa"/>
            <w:gridSpan w:val="2"/>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c>
          <w:tcPr>
            <w:tcW w:w="850" w:type="dxa"/>
            <w:gridSpan w:val="2"/>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c>
          <w:tcPr>
            <w:tcW w:w="992" w:type="dxa"/>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r w:rsidR="00FC2000" w:rsidRPr="004E167F" w:rsidTr="00FC2000">
        <w:tc>
          <w:tcPr>
            <w:tcW w:w="4957" w:type="dxa"/>
            <w:gridSpan w:val="8"/>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FC2000" w:rsidRPr="004E167F" w:rsidRDefault="00FC2000" w:rsidP="00FC2000">
            <w:pPr>
              <w:overflowPunct/>
              <w:autoSpaceDE/>
              <w:autoSpaceDN/>
              <w:adjustRightInd/>
              <w:spacing w:before="0" w:after="0" w:line="288" w:lineRule="auto"/>
              <w:ind w:left="0" w:firstLine="567"/>
              <w:textAlignment w:val="auto"/>
              <w:rPr>
                <w:lang w:eastAsia="fr-FR"/>
              </w:rPr>
            </w:pPr>
          </w:p>
        </w:tc>
      </w:tr>
      <w:tr w:rsidR="00FC2000" w:rsidRPr="004E167F" w:rsidTr="00FC2000">
        <w:tc>
          <w:tcPr>
            <w:tcW w:w="4957" w:type="dxa"/>
            <w:gridSpan w:val="8"/>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r w:rsidR="00FC2000" w:rsidRPr="004E167F" w:rsidTr="00FC2000">
        <w:tc>
          <w:tcPr>
            <w:tcW w:w="4957" w:type="dxa"/>
            <w:gridSpan w:val="8"/>
          </w:tcPr>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FC2000" w:rsidRPr="004E167F" w:rsidRDefault="00FC2000" w:rsidP="00FC2000">
            <w:pPr>
              <w:overflowPunct/>
              <w:autoSpaceDE/>
              <w:autoSpaceDN/>
              <w:adjustRightInd/>
              <w:spacing w:before="0" w:after="0" w:line="288" w:lineRule="auto"/>
              <w:ind w:left="0"/>
              <w:textAlignment w:val="auto"/>
              <w:rPr>
                <w:lang w:eastAsia="fr-FR"/>
              </w:rPr>
            </w:pPr>
          </w:p>
        </w:tc>
      </w:tr>
    </w:tbl>
    <w:p w:rsidR="00FC2000" w:rsidRPr="004E167F" w:rsidRDefault="00FC2000" w:rsidP="00FC2000">
      <w:pPr>
        <w:overflowPunct/>
        <w:autoSpaceDE/>
        <w:autoSpaceDN/>
        <w:adjustRightInd/>
        <w:spacing w:before="0" w:after="0" w:line="288" w:lineRule="auto"/>
        <w:ind w:left="0"/>
        <w:textAlignment w:val="auto"/>
        <w:rPr>
          <w:lang w:eastAsia="fr-FR"/>
        </w:rPr>
      </w:pPr>
      <w:r w:rsidRPr="004E167F">
        <w:rPr>
          <w:lang w:eastAsia="fr-FR"/>
        </w:rPr>
        <w:t xml:space="preserve"> </w:t>
      </w:r>
    </w:p>
    <w:p w:rsidR="00FC2000" w:rsidRPr="004E167F" w:rsidRDefault="00FC2000" w:rsidP="00FC2000">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Nous soussignés, groupés solidaires ayant pour mandataire la société citée en premier ci-après,</w:t>
      </w:r>
    </w:p>
    <w:p w:rsidR="004E167F" w:rsidRPr="004E167F" w:rsidRDefault="004E167F" w:rsidP="004E167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4E167F" w:rsidRPr="004E167F" w:rsidTr="001D2CE2">
        <w:tc>
          <w:tcPr>
            <w:tcW w:w="3114" w:type="dxa"/>
            <w:gridSpan w:val="6"/>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top w:val="single" w:sz="4" w:space="0" w:color="auto"/>
              <w:left w:val="single" w:sz="4" w:space="0" w:color="auto"/>
              <w:bottom w:val="nil"/>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(Prénom NOM) :</w:t>
            </w:r>
          </w:p>
        </w:tc>
        <w:tc>
          <w:tcPr>
            <w:tcW w:w="4257" w:type="dxa"/>
            <w:tcBorders>
              <w:top w:val="single" w:sz="4" w:space="0" w:color="auto"/>
              <w:bottom w:val="nil"/>
              <w:right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apprécié sous ma (notre) responsabilité la nature et les difficultés des prestations à réaliser,</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pris connaissance du cahier des clauses administratives particulières (CCAP) du marché cadre et des pièces contractuelles qui y sont mentionnées,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m'engage (nous engageons) sans réserve, conformément aux stipulations du présent marché subséquent et des documents visés ci-dessus, à exécuter les prestations dans les conditions ci-après définies.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L'offre ainsi présentée ne me (nous) lie toutefois que si son acceptation m'est (nous est) notifiée dans un délai de deux (2) mois à compter de la date limite de remise des offres.</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2 – PRIX</w:t>
      </w:r>
    </w:p>
    <w:p w:rsidR="004E167F" w:rsidRDefault="004E167F" w:rsidP="004E167F">
      <w:pPr>
        <w:overflowPunct/>
        <w:autoSpaceDE/>
        <w:autoSpaceDN/>
        <w:adjustRightInd/>
        <w:spacing w:before="0" w:after="0" w:line="288" w:lineRule="auto"/>
        <w:ind w:left="0"/>
        <w:textAlignment w:val="auto"/>
        <w:rPr>
          <w:lang w:eastAsia="fr-FR"/>
        </w:rPr>
      </w:pPr>
    </w:p>
    <w:p w:rsidR="004A4124" w:rsidRDefault="004A4124" w:rsidP="004A4124">
      <w:pPr>
        <w:overflowPunct/>
        <w:autoSpaceDE/>
        <w:autoSpaceDN/>
        <w:adjustRightInd/>
        <w:spacing w:before="0" w:after="0" w:line="288" w:lineRule="auto"/>
        <w:ind w:left="0"/>
        <w:textAlignment w:val="auto"/>
        <w:rPr>
          <w:lang w:eastAsia="fr-FR"/>
        </w:rPr>
      </w:pPr>
      <w:r>
        <w:rPr>
          <w:lang w:eastAsia="fr-FR"/>
        </w:rPr>
        <w:t>L'offre de prix est réputée établie sur la base des conditions économiques en vigueur le dernier jour du mois qui précède la date limite de remise des offres pour le présent marché subséquent.</w:t>
      </w:r>
    </w:p>
    <w:p w:rsidR="004A4124" w:rsidRDefault="004A4124" w:rsidP="004A4124">
      <w:pPr>
        <w:overflowPunct/>
        <w:autoSpaceDE/>
        <w:autoSpaceDN/>
        <w:adjustRightInd/>
        <w:spacing w:before="0" w:after="0" w:line="288" w:lineRule="auto"/>
        <w:ind w:left="0"/>
        <w:textAlignment w:val="auto"/>
        <w:rPr>
          <w:lang w:eastAsia="fr-FR"/>
        </w:rPr>
      </w:pPr>
    </w:p>
    <w:p w:rsidR="004A4124" w:rsidRDefault="004A4124" w:rsidP="004A4124">
      <w:pPr>
        <w:overflowPunct/>
        <w:autoSpaceDE/>
        <w:autoSpaceDN/>
        <w:adjustRightInd/>
        <w:spacing w:before="0" w:after="0" w:line="288" w:lineRule="auto"/>
        <w:ind w:left="0"/>
        <w:textAlignment w:val="auto"/>
        <w:rPr>
          <w:lang w:eastAsia="fr-FR"/>
        </w:rPr>
      </w:pPr>
      <w:r>
        <w:rPr>
          <w:lang w:eastAsia="fr-FR"/>
        </w:rPr>
        <w:t>Ce mois, appelé mois zéro « Mo », est le mois de : _____________ (à compléter avant la remise des offres).</w:t>
      </w:r>
    </w:p>
    <w:p w:rsidR="004A4124" w:rsidRDefault="004A4124" w:rsidP="004A4124">
      <w:pPr>
        <w:overflowPunct/>
        <w:autoSpaceDE/>
        <w:autoSpaceDN/>
        <w:adjustRightInd/>
        <w:spacing w:before="0" w:after="0" w:line="288" w:lineRule="auto"/>
        <w:ind w:left="0"/>
        <w:textAlignment w:val="auto"/>
        <w:rPr>
          <w:lang w:eastAsia="fr-FR"/>
        </w:rPr>
      </w:pPr>
    </w:p>
    <w:p w:rsidR="004A4124" w:rsidRDefault="004A4124" w:rsidP="004A4124">
      <w:pPr>
        <w:overflowPunct/>
        <w:autoSpaceDE/>
        <w:autoSpaceDN/>
        <w:adjustRightInd/>
        <w:spacing w:before="0" w:after="0" w:line="288" w:lineRule="auto"/>
        <w:ind w:left="0"/>
        <w:textAlignment w:val="auto"/>
        <w:rPr>
          <w:lang w:eastAsia="fr-FR"/>
        </w:rPr>
      </w:pPr>
      <w:r>
        <w:rPr>
          <w:lang w:eastAsia="fr-FR"/>
        </w:rPr>
        <w:t>Les montants sont exprimés en franc CFP (symbole ISO : XPF), abrégé en « F » ci-après et dans tous les documents du marché.</w:t>
      </w:r>
    </w:p>
    <w:p w:rsidR="004A4124" w:rsidRDefault="004A4124" w:rsidP="004A4124">
      <w:pPr>
        <w:overflowPunct/>
        <w:autoSpaceDE/>
        <w:autoSpaceDN/>
        <w:adjustRightInd/>
        <w:spacing w:before="0" w:after="0" w:line="288" w:lineRule="auto"/>
        <w:ind w:left="0"/>
        <w:textAlignment w:val="auto"/>
        <w:rPr>
          <w:lang w:eastAsia="fr-FR"/>
        </w:rPr>
      </w:pPr>
    </w:p>
    <w:p w:rsidR="004A4124" w:rsidRDefault="004A4124" w:rsidP="004A4124">
      <w:pPr>
        <w:overflowPunct/>
        <w:autoSpaceDE/>
        <w:autoSpaceDN/>
        <w:adjustRightInd/>
        <w:spacing w:before="0" w:after="0" w:line="288" w:lineRule="auto"/>
        <w:ind w:left="0"/>
        <w:textAlignment w:val="auto"/>
        <w:rPr>
          <w:lang w:eastAsia="fr-FR"/>
        </w:rPr>
      </w:pPr>
      <w:r>
        <w:rPr>
          <w:lang w:eastAsia="fr-FR"/>
        </w:rPr>
        <w:t>Les modalités de révision ou d’actualisation des prix sont fixées au CCAP du marché cadre.</w:t>
      </w:r>
    </w:p>
    <w:p w:rsidR="004A4124" w:rsidRDefault="004A4124" w:rsidP="004A4124">
      <w:pPr>
        <w:overflowPunct/>
        <w:autoSpaceDE/>
        <w:autoSpaceDN/>
        <w:adjustRightInd/>
        <w:spacing w:before="0" w:after="0" w:line="288" w:lineRule="auto"/>
        <w:ind w:left="0"/>
        <w:textAlignment w:val="auto"/>
        <w:rPr>
          <w:lang w:eastAsia="fr-FR"/>
        </w:rPr>
      </w:pPr>
    </w:p>
    <w:sdt>
      <w:sdtPr>
        <w:rPr>
          <w:lang w:eastAsia="fr-FR"/>
        </w:rPr>
        <w:id w:val="341516372"/>
      </w:sdtPr>
      <w:sdtEndPr/>
      <w:sdtContent>
        <w:p w:rsidR="00872A77" w:rsidRDefault="00F2448C" w:rsidP="00872A77">
          <w:pPr>
            <w:overflowPunct/>
            <w:autoSpaceDE/>
            <w:autoSpaceDN/>
            <w:adjustRightInd/>
            <w:spacing w:before="0" w:after="0" w:line="288" w:lineRule="auto"/>
            <w:ind w:left="0"/>
            <w:textAlignment w:val="auto"/>
          </w:pPr>
          <w:sdt>
            <w:sdtPr>
              <w:rPr>
                <w:lang w:eastAsia="fr-FR"/>
              </w:rPr>
              <w:id w:val="-582991087"/>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sidRPr="004E167F">
            <w:rPr>
              <w:lang w:eastAsia="fr-FR"/>
            </w:rPr>
            <w:t xml:space="preserve">  </w:t>
          </w:r>
          <w:r w:rsidR="00B66158" w:rsidRPr="006E120B">
            <w:rPr>
              <w:lang w:eastAsia="fr-FR"/>
            </w:rPr>
            <w:t>Les prestations sont rémunérées pa</w:t>
          </w:r>
          <w:r w:rsidR="005360DC">
            <w:rPr>
              <w:lang w:eastAsia="fr-FR"/>
            </w:rPr>
            <w:t>r un prix global et forfaitaire</w:t>
          </w:r>
          <w:r w:rsidR="00872A77">
            <w:t>, selon la décomposition du prix global et forfaitaire jointe.</w:t>
          </w:r>
        </w:p>
        <w:p w:rsidR="00B66158" w:rsidRPr="006E120B" w:rsidRDefault="00B66158" w:rsidP="00872A77">
          <w:pPr>
            <w:overflowPunct/>
            <w:autoSpaceDE/>
            <w:autoSpaceDN/>
            <w:adjustRightInd/>
            <w:spacing w:before="0" w:after="0" w:line="288" w:lineRule="auto"/>
            <w:ind w:left="0"/>
            <w:textAlignment w:val="auto"/>
            <w:rPr>
              <w:lang w:eastAsia="fr-FR"/>
            </w:rPr>
          </w:pPr>
          <w:r w:rsidRPr="006E120B">
            <w:rPr>
              <w:lang w:eastAsia="fr-FR"/>
            </w:rPr>
            <w:t>Le montant HT du marché est de : ………………………………… FCFP.</w:t>
          </w:r>
        </w:p>
        <w:p w:rsidR="00B66158" w:rsidRPr="006E120B" w:rsidRDefault="00F2448C" w:rsidP="00B66158">
          <w:pPr>
            <w:overflowPunct/>
            <w:autoSpaceDE/>
            <w:autoSpaceDN/>
            <w:adjustRightInd/>
            <w:spacing w:before="0" w:after="0" w:line="288" w:lineRule="auto"/>
            <w:ind w:left="0"/>
            <w:textAlignment w:val="auto"/>
            <w:rPr>
              <w:lang w:eastAsia="fr-FR"/>
            </w:rPr>
          </w:pPr>
        </w:p>
      </w:sdtContent>
    </w:sdt>
    <w:sdt>
      <w:sdtPr>
        <w:rPr>
          <w:lang w:eastAsia="fr-FR"/>
        </w:rPr>
        <w:id w:val="786393095"/>
      </w:sdtPr>
      <w:sdtEndPr/>
      <w:sdtContent>
        <w:p w:rsidR="00B66158" w:rsidRPr="006E120B" w:rsidRDefault="00F2448C" w:rsidP="00B66158">
          <w:pPr>
            <w:overflowPunct/>
            <w:autoSpaceDE/>
            <w:autoSpaceDN/>
            <w:adjustRightInd/>
            <w:spacing w:before="0" w:after="0" w:line="288" w:lineRule="auto"/>
            <w:ind w:left="0"/>
            <w:textAlignment w:val="auto"/>
            <w:rPr>
              <w:lang w:eastAsia="fr-FR"/>
            </w:rPr>
          </w:pPr>
          <w:sdt>
            <w:sdtPr>
              <w:rPr>
                <w:lang w:eastAsia="fr-FR"/>
              </w:rPr>
              <w:id w:val="136460771"/>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sidRPr="004E167F">
            <w:rPr>
              <w:lang w:eastAsia="fr-FR"/>
            </w:rPr>
            <w:t xml:space="preserve">  </w:t>
          </w:r>
          <w:r w:rsidR="00B66158" w:rsidRPr="006E120B">
            <w:rPr>
              <w:lang w:eastAsia="fr-FR"/>
            </w:rPr>
            <w:t>Les prestations sont rémunérées par application des prix unitaires fixés au bordereau des prix unitaires aux quantités réellement exécutées.</w:t>
          </w:r>
        </w:p>
        <w:p w:rsidR="00B66158" w:rsidRPr="006E120B" w:rsidRDefault="00B66158" w:rsidP="00B66158">
          <w:pPr>
            <w:overflowPunct/>
            <w:autoSpaceDE/>
            <w:autoSpaceDN/>
            <w:adjustRightInd/>
            <w:spacing w:before="0" w:after="0" w:line="288" w:lineRule="auto"/>
            <w:ind w:left="0"/>
            <w:textAlignment w:val="auto"/>
            <w:rPr>
              <w:lang w:eastAsia="fr-FR"/>
            </w:rPr>
          </w:pPr>
          <w:r w:rsidRPr="006E120B">
            <w:rPr>
              <w:lang w:eastAsia="fr-FR"/>
            </w:rPr>
            <w:t>Le montant HT estimé des prestations réglées sur prix unitaires, résultant des quantités estimées portées dans le détail estimatif est de : …………………… FCFP.</w:t>
          </w:r>
        </w:p>
        <w:p w:rsidR="00B66158" w:rsidRPr="006E120B" w:rsidRDefault="00B66158" w:rsidP="00B66158">
          <w:pPr>
            <w:overflowPunct/>
            <w:autoSpaceDE/>
            <w:autoSpaceDN/>
            <w:adjustRightInd/>
            <w:spacing w:before="0" w:after="0" w:line="288" w:lineRule="auto"/>
            <w:ind w:left="0"/>
            <w:textAlignment w:val="auto"/>
            <w:rPr>
              <w:lang w:eastAsia="fr-FR"/>
            </w:rPr>
          </w:pPr>
          <w:r w:rsidRPr="006E120B">
            <w:rPr>
              <w:lang w:eastAsia="fr-FR"/>
            </w:rPr>
            <w:t>Le montant HT du marché est de : ………………………………… FCFP.</w:t>
          </w:r>
        </w:p>
        <w:p w:rsidR="00B66158" w:rsidRPr="006E120B" w:rsidRDefault="00F2448C" w:rsidP="00B66158">
          <w:pPr>
            <w:overflowPunct/>
            <w:autoSpaceDE/>
            <w:autoSpaceDN/>
            <w:adjustRightInd/>
            <w:spacing w:before="0" w:after="0" w:line="288" w:lineRule="auto"/>
            <w:ind w:left="0"/>
            <w:textAlignment w:val="auto"/>
            <w:rPr>
              <w:lang w:eastAsia="fr-FR"/>
            </w:rPr>
          </w:pPr>
        </w:p>
      </w:sdtContent>
    </w:sdt>
    <w:sdt>
      <w:sdtPr>
        <w:rPr>
          <w:lang w:eastAsia="fr-FR"/>
        </w:rPr>
        <w:id w:val="1263961513"/>
      </w:sdtPr>
      <w:sdtEndPr/>
      <w:sdtContent>
        <w:p w:rsidR="00B66158" w:rsidRPr="006E120B" w:rsidRDefault="00F2448C" w:rsidP="00B66158">
          <w:pPr>
            <w:overflowPunct/>
            <w:autoSpaceDE/>
            <w:autoSpaceDN/>
            <w:adjustRightInd/>
            <w:spacing w:before="0" w:after="0" w:line="288" w:lineRule="auto"/>
            <w:ind w:left="0"/>
            <w:textAlignment w:val="auto"/>
            <w:rPr>
              <w:lang w:eastAsia="fr-FR"/>
            </w:rPr>
          </w:pPr>
          <w:sdt>
            <w:sdtPr>
              <w:rPr>
                <w:lang w:eastAsia="fr-FR"/>
              </w:rPr>
              <w:id w:val="-1375839658"/>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sidRPr="004E167F">
            <w:rPr>
              <w:lang w:eastAsia="fr-FR"/>
            </w:rPr>
            <w:t xml:space="preserve">  </w:t>
          </w:r>
          <w:r w:rsidR="00B66158" w:rsidRPr="006E120B">
            <w:rPr>
              <w:lang w:eastAsia="fr-FR"/>
            </w:rPr>
            <w:t>Les prestations du marché sont rémunérées par des prix forfaitaires et par des prix unitaires.</w:t>
          </w:r>
        </w:p>
        <w:p w:rsidR="00872A77" w:rsidRDefault="00B66158" w:rsidP="00872A77">
          <w:pPr>
            <w:overflowPunct/>
            <w:autoSpaceDE/>
            <w:autoSpaceDN/>
            <w:adjustRightInd/>
            <w:spacing w:before="0" w:after="0" w:line="288" w:lineRule="auto"/>
            <w:ind w:left="0"/>
            <w:textAlignment w:val="auto"/>
            <w:rPr>
              <w:lang w:eastAsia="fr-FR"/>
            </w:rPr>
          </w:pPr>
          <w:r w:rsidRPr="006E120B">
            <w:rPr>
              <w:lang w:eastAsia="fr-FR"/>
            </w:rPr>
            <w:t>Le montant HT des prestations rémunérées sur prix forfaitaires</w:t>
          </w:r>
          <w:r w:rsidR="00872A77">
            <w:rPr>
              <w:lang w:eastAsia="fr-FR"/>
            </w:rPr>
            <w:t xml:space="preserve">, </w:t>
          </w:r>
          <w:r w:rsidR="00872A77">
            <w:t xml:space="preserve">selon la décomposition du prix global et forfaitaire, </w:t>
          </w:r>
          <w:r w:rsidRPr="006E120B">
            <w:rPr>
              <w:lang w:eastAsia="fr-FR"/>
            </w:rPr>
            <w:t>est de : …………………………FCFP.</w:t>
          </w:r>
        </w:p>
        <w:p w:rsidR="00B66158" w:rsidRPr="006E120B" w:rsidRDefault="00B66158" w:rsidP="00872A77">
          <w:pPr>
            <w:overflowPunct/>
            <w:autoSpaceDE/>
            <w:autoSpaceDN/>
            <w:adjustRightInd/>
            <w:spacing w:before="0" w:after="0" w:line="288" w:lineRule="auto"/>
            <w:ind w:left="0"/>
            <w:textAlignment w:val="auto"/>
            <w:rPr>
              <w:lang w:eastAsia="fr-FR"/>
            </w:rPr>
          </w:pPr>
          <w:r w:rsidRPr="006E120B">
            <w:rPr>
              <w:lang w:eastAsia="fr-FR"/>
            </w:rPr>
            <w:t>Le montant HT estimé des prestations réglées sur prix unitaires, résultant du détail estimatif, qui applique les prix unitaires du bordereau des prix unitaires aux quantités estimées, est de : …………………… FCFP.</w:t>
          </w:r>
        </w:p>
        <w:p w:rsidR="00B66158" w:rsidRPr="006E120B" w:rsidRDefault="00B66158" w:rsidP="00B66158">
          <w:pPr>
            <w:overflowPunct/>
            <w:autoSpaceDE/>
            <w:autoSpaceDN/>
            <w:adjustRightInd/>
            <w:spacing w:before="0" w:after="0" w:line="288" w:lineRule="auto"/>
            <w:ind w:left="0"/>
            <w:textAlignment w:val="auto"/>
            <w:rPr>
              <w:lang w:eastAsia="fr-FR"/>
            </w:rPr>
          </w:pPr>
          <w:r w:rsidRPr="006E120B">
            <w:rPr>
              <w:lang w:eastAsia="fr-FR"/>
            </w:rPr>
            <w:t>Le montant global HT du marché est de : ………………………………… FCFP.</w:t>
          </w:r>
        </w:p>
        <w:p w:rsidR="004A4124" w:rsidRPr="006E120B" w:rsidRDefault="00F2448C" w:rsidP="004A4124">
          <w:pPr>
            <w:overflowPunct/>
            <w:autoSpaceDE/>
            <w:autoSpaceDN/>
            <w:adjustRightInd/>
            <w:spacing w:before="0" w:after="0" w:line="288" w:lineRule="auto"/>
            <w:ind w:left="0"/>
            <w:textAlignment w:val="auto"/>
            <w:rPr>
              <w:lang w:eastAsia="fr-FR"/>
            </w:rPr>
          </w:pPr>
        </w:p>
      </w:sdtContent>
    </w:sdt>
    <w:p w:rsidR="004A4124" w:rsidRPr="006E120B" w:rsidRDefault="004A4124" w:rsidP="004A4124">
      <w:pPr>
        <w:overflowPunct/>
        <w:autoSpaceDE/>
        <w:autoSpaceDN/>
        <w:adjustRightInd/>
        <w:spacing w:before="0" w:after="0" w:line="288" w:lineRule="auto"/>
        <w:ind w:left="0"/>
        <w:textAlignment w:val="auto"/>
        <w:rPr>
          <w:lang w:eastAsia="fr-FR"/>
        </w:rPr>
      </w:pPr>
      <w:r w:rsidRPr="006E120B">
        <w:rPr>
          <w:lang w:eastAsia="fr-FR"/>
        </w:rPr>
        <w:t>La TGC en vigueur sera rajoutée lors de la facturation.</w:t>
      </w:r>
    </w:p>
    <w:p w:rsidR="004A4124" w:rsidRPr="006E120B" w:rsidRDefault="004A4124" w:rsidP="004A4124">
      <w:pPr>
        <w:overflowPunct/>
        <w:autoSpaceDE/>
        <w:autoSpaceDN/>
        <w:adjustRightInd/>
        <w:spacing w:before="0" w:after="0" w:line="288" w:lineRule="auto"/>
        <w:ind w:left="0"/>
        <w:textAlignment w:val="auto"/>
        <w:rPr>
          <w:lang w:eastAsia="fr-FR"/>
        </w:rPr>
      </w:pPr>
    </w:p>
    <w:p w:rsidR="004A4124" w:rsidRPr="006E120B" w:rsidRDefault="004A4124" w:rsidP="004A4124">
      <w:pPr>
        <w:overflowPunct/>
        <w:autoSpaceDE/>
        <w:autoSpaceDN/>
        <w:adjustRightInd/>
        <w:spacing w:before="0" w:after="0" w:line="288" w:lineRule="auto"/>
        <w:ind w:left="0"/>
        <w:textAlignment w:val="auto"/>
        <w:rPr>
          <w:lang w:eastAsia="fr-FR"/>
        </w:rPr>
      </w:pPr>
      <w:r w:rsidRPr="006E120B">
        <w:rPr>
          <w:lang w:eastAsia="fr-FR"/>
        </w:rPr>
        <w:t>A titre indicatif :</w:t>
      </w:r>
    </w:p>
    <w:p w:rsidR="004A4124" w:rsidRPr="006E120B" w:rsidRDefault="004A4124" w:rsidP="004A4124">
      <w:pPr>
        <w:overflowPunct/>
        <w:autoSpaceDE/>
        <w:autoSpaceDN/>
        <w:adjustRightInd/>
        <w:spacing w:before="0" w:after="0" w:line="288" w:lineRule="auto"/>
        <w:ind w:left="0"/>
        <w:textAlignment w:val="auto"/>
        <w:rPr>
          <w:lang w:eastAsia="fr-FR"/>
        </w:rPr>
      </w:pPr>
      <w:r w:rsidRPr="006E120B">
        <w:rPr>
          <w:lang w:eastAsia="fr-FR"/>
        </w:rPr>
        <w:t xml:space="preserve">La TGC applicable au marché lors de la présentation de l’offre est de </w:t>
      </w:r>
      <w:proofErr w:type="gramStart"/>
      <w:r w:rsidRPr="006E120B">
        <w:rPr>
          <w:lang w:eastAsia="fr-FR"/>
        </w:rPr>
        <w:t>:  …</w:t>
      </w:r>
      <w:proofErr w:type="gramEnd"/>
      <w:r w:rsidRPr="006E120B">
        <w:rPr>
          <w:lang w:eastAsia="fr-FR"/>
        </w:rPr>
        <w:t>… %.</w:t>
      </w:r>
    </w:p>
    <w:p w:rsidR="004A4124" w:rsidRPr="006E120B" w:rsidRDefault="004A4124" w:rsidP="004A4124">
      <w:pPr>
        <w:overflowPunct/>
        <w:autoSpaceDE/>
        <w:autoSpaceDN/>
        <w:adjustRightInd/>
        <w:spacing w:before="0" w:after="0" w:line="288" w:lineRule="auto"/>
        <w:ind w:left="0"/>
        <w:textAlignment w:val="auto"/>
        <w:rPr>
          <w:lang w:eastAsia="fr-FR"/>
        </w:rPr>
      </w:pPr>
      <w:r w:rsidRPr="006E120B">
        <w:rPr>
          <w:lang w:eastAsia="fr-FR"/>
        </w:rPr>
        <w:t>Le montant de la TGC du marché est de : ………………………… FCFP.</w:t>
      </w:r>
    </w:p>
    <w:p w:rsidR="004A4124" w:rsidRDefault="004A4124" w:rsidP="004A4124">
      <w:pPr>
        <w:overflowPunct/>
        <w:autoSpaceDE/>
        <w:autoSpaceDN/>
        <w:adjustRightInd/>
        <w:spacing w:before="0" w:after="0" w:line="288" w:lineRule="auto"/>
        <w:ind w:left="0"/>
        <w:textAlignment w:val="auto"/>
        <w:rPr>
          <w:lang w:eastAsia="fr-FR"/>
        </w:rPr>
      </w:pPr>
      <w:r w:rsidRPr="006E120B">
        <w:rPr>
          <w:lang w:eastAsia="fr-FR"/>
        </w:rPr>
        <w:t>Le montant TTC du marché est de : …………………………… FCFP.</w:t>
      </w:r>
    </w:p>
    <w:p w:rsidR="00DE499B" w:rsidRPr="004E167F" w:rsidRDefault="00DE499B" w:rsidP="009309F8">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156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3 – SOUS-TRAITANCE</w:t>
      </w:r>
    </w:p>
    <w:p w:rsidR="004E167F" w:rsidRPr="004E167F" w:rsidRDefault="004E167F" w:rsidP="004E167F">
      <w:pPr>
        <w:overflowPunct/>
        <w:autoSpaceDE/>
        <w:autoSpaceDN/>
        <w:adjustRightInd/>
        <w:spacing w:before="0" w:after="0" w:line="288" w:lineRule="auto"/>
        <w:ind w:left="0"/>
        <w:textAlignment w:val="auto"/>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3.1 - A la passation du marché</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proofErr w:type="gramStart"/>
      <w:r w:rsidRPr="000816BA">
        <w:rPr>
          <w:lang w:eastAsia="fr-FR"/>
        </w:rPr>
        <w:t>Les annexes</w:t>
      </w:r>
      <w:proofErr w:type="gramEnd"/>
      <w:r w:rsidRPr="000816BA">
        <w:rPr>
          <w:lang w:eastAsia="fr-FR"/>
        </w:rPr>
        <w:t xml:space="preserve"> n° </w:t>
      </w:r>
      <w:r w:rsidRPr="000816BA">
        <w:rPr>
          <w:color w:val="0070C0"/>
          <w:lang w:eastAsia="fr-FR"/>
        </w:rPr>
        <w:t xml:space="preserve">___ </w:t>
      </w:r>
      <w:r w:rsidRPr="000816BA">
        <w:rPr>
          <w:lang w:eastAsia="fr-FR"/>
        </w:rPr>
        <w:t>au présent acte d'engagement indiquent la nature des prestations que j'envisage (nous envisageons) de faire exécuter par des sous-traitants payés directement, les noms de ces sous-traitants et les conditions de paiement des contrats de sous-traitance.</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 xml:space="preserve">Le montant des prestations sous-traitées </w:t>
      </w:r>
      <w:r w:rsidR="003A3C4E">
        <w:rPr>
          <w:lang w:eastAsia="fr-FR"/>
        </w:rPr>
        <w:t>est indiqué dans ces annexes. Ce montant</w:t>
      </w:r>
      <w:r w:rsidRPr="000816BA">
        <w:rPr>
          <w:lang w:eastAsia="fr-FR"/>
        </w:rPr>
        <w:t xml:space="preserve"> constituera le montant maximal, hors révision et actualisation, de la créance que le sous-traitant concerné pourra présenter en nantissement.</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0816BA" w:rsidRPr="000816BA" w:rsidRDefault="000816BA" w:rsidP="000816BA">
      <w:pPr>
        <w:spacing w:before="0" w:after="0" w:line="288" w:lineRule="auto"/>
        <w:ind w:left="0"/>
        <w:textAlignment w:val="auto"/>
        <w:rPr>
          <w:lang w:eastAsia="fr-FR"/>
        </w:rPr>
      </w:pPr>
    </w:p>
    <w:p w:rsidR="005360DC" w:rsidRPr="005360DC" w:rsidRDefault="005360DC" w:rsidP="005360DC">
      <w:pPr>
        <w:spacing w:before="0" w:after="0" w:line="288" w:lineRule="auto"/>
        <w:ind w:left="0"/>
        <w:rPr>
          <w:lang w:eastAsia="fr-FR"/>
        </w:rPr>
      </w:pPr>
      <w:r w:rsidRPr="005360DC">
        <w:rPr>
          <w:lang w:eastAsia="fr-FR"/>
        </w:rPr>
        <w:t>Tableau récapitulatif :</w:t>
      </w:r>
    </w:p>
    <w:p w:rsidR="005360DC" w:rsidRPr="005360DC" w:rsidRDefault="005360DC" w:rsidP="005360DC">
      <w:pPr>
        <w:spacing w:before="0" w:after="0" w:line="288" w:lineRule="auto"/>
        <w:ind w:left="0"/>
        <w:rPr>
          <w:lang w:eastAsia="fr-FR"/>
        </w:rPr>
      </w:pPr>
    </w:p>
    <w:tbl>
      <w:tblPr>
        <w:tblStyle w:val="Grilledutableau4"/>
        <w:tblW w:w="9107" w:type="dxa"/>
        <w:tblInd w:w="108" w:type="dxa"/>
        <w:tblLook w:val="04A0" w:firstRow="1" w:lastRow="0" w:firstColumn="1" w:lastColumn="0" w:noHBand="0" w:noVBand="1"/>
      </w:tblPr>
      <w:tblGrid>
        <w:gridCol w:w="2235"/>
        <w:gridCol w:w="1842"/>
        <w:gridCol w:w="1789"/>
        <w:gridCol w:w="1789"/>
        <w:gridCol w:w="1452"/>
      </w:tblGrid>
      <w:tr w:rsidR="005360DC" w:rsidRPr="005360DC" w:rsidTr="00F6393B">
        <w:tc>
          <w:tcPr>
            <w:tcW w:w="2235" w:type="dxa"/>
          </w:tcPr>
          <w:p w:rsidR="005360DC" w:rsidRPr="005360DC" w:rsidRDefault="005360DC" w:rsidP="005360DC">
            <w:pPr>
              <w:spacing w:before="0" w:after="0" w:line="288" w:lineRule="auto"/>
              <w:ind w:left="0"/>
              <w:jc w:val="center"/>
            </w:pPr>
            <w:r w:rsidRPr="005360DC">
              <w:t>Nature des prestations sous-traitées</w:t>
            </w:r>
          </w:p>
        </w:tc>
        <w:tc>
          <w:tcPr>
            <w:tcW w:w="1842" w:type="dxa"/>
          </w:tcPr>
          <w:p w:rsidR="005360DC" w:rsidRPr="005360DC" w:rsidRDefault="005360DC" w:rsidP="005360DC">
            <w:pPr>
              <w:spacing w:before="0" w:after="0" w:line="288" w:lineRule="auto"/>
              <w:ind w:left="0"/>
              <w:jc w:val="center"/>
            </w:pPr>
            <w:r w:rsidRPr="005360DC">
              <w:t>Entreprise sous-traitante</w:t>
            </w:r>
          </w:p>
        </w:tc>
        <w:tc>
          <w:tcPr>
            <w:tcW w:w="1789" w:type="dxa"/>
          </w:tcPr>
          <w:p w:rsidR="005360DC" w:rsidRPr="005360DC" w:rsidRDefault="005360DC" w:rsidP="005360DC">
            <w:pPr>
              <w:spacing w:before="0" w:after="0" w:line="288" w:lineRule="auto"/>
              <w:ind w:left="0"/>
              <w:jc w:val="center"/>
            </w:pPr>
            <w:r w:rsidRPr="005360DC">
              <w:t>Montant HT</w:t>
            </w:r>
          </w:p>
        </w:tc>
        <w:tc>
          <w:tcPr>
            <w:tcW w:w="1789" w:type="dxa"/>
          </w:tcPr>
          <w:p w:rsidR="005360DC" w:rsidRPr="005360DC" w:rsidRDefault="005360DC" w:rsidP="005360DC">
            <w:pPr>
              <w:spacing w:before="0" w:after="0" w:line="288" w:lineRule="auto"/>
              <w:ind w:left="0"/>
              <w:jc w:val="center"/>
            </w:pPr>
            <w:r w:rsidRPr="005360DC">
              <w:t>Montant TTC indicatif (*)</w:t>
            </w:r>
          </w:p>
        </w:tc>
        <w:tc>
          <w:tcPr>
            <w:tcW w:w="1452" w:type="dxa"/>
          </w:tcPr>
          <w:p w:rsidR="005360DC" w:rsidRPr="005360DC" w:rsidRDefault="005360DC" w:rsidP="005360DC">
            <w:pPr>
              <w:spacing w:before="0" w:after="0" w:line="288" w:lineRule="auto"/>
              <w:ind w:left="0"/>
              <w:jc w:val="center"/>
            </w:pPr>
            <w:r w:rsidRPr="005360DC">
              <w:t>Support</w:t>
            </w:r>
          </w:p>
        </w:tc>
      </w:tr>
      <w:tr w:rsidR="005360DC" w:rsidRPr="005360DC" w:rsidTr="00F6393B">
        <w:tc>
          <w:tcPr>
            <w:tcW w:w="2235" w:type="dxa"/>
          </w:tcPr>
          <w:p w:rsidR="005360DC" w:rsidRPr="005360DC" w:rsidRDefault="005360DC" w:rsidP="005360DC">
            <w:pPr>
              <w:spacing w:before="0" w:after="0" w:line="288" w:lineRule="auto"/>
              <w:ind w:left="426" w:hanging="426"/>
              <w:jc w:val="left"/>
              <w:rPr>
                <w:color w:val="0070C0"/>
              </w:rPr>
            </w:pPr>
          </w:p>
          <w:p w:rsidR="005360DC" w:rsidRPr="005360DC" w:rsidRDefault="005360DC" w:rsidP="005360DC">
            <w:pPr>
              <w:spacing w:before="0" w:after="0" w:line="288" w:lineRule="auto"/>
              <w:ind w:left="426" w:hanging="426"/>
              <w:jc w:val="left"/>
              <w:rPr>
                <w:color w:val="0070C0"/>
              </w:rPr>
            </w:pPr>
          </w:p>
        </w:tc>
        <w:tc>
          <w:tcPr>
            <w:tcW w:w="1842" w:type="dxa"/>
          </w:tcPr>
          <w:p w:rsidR="005360DC" w:rsidRPr="005360DC" w:rsidRDefault="005360DC" w:rsidP="005360DC">
            <w:pPr>
              <w:spacing w:before="0" w:after="0" w:line="288" w:lineRule="auto"/>
              <w:ind w:left="0"/>
              <w:jc w:val="center"/>
              <w:rPr>
                <w:color w:val="0070C0"/>
              </w:rPr>
            </w:pPr>
          </w:p>
        </w:tc>
        <w:tc>
          <w:tcPr>
            <w:tcW w:w="1789" w:type="dxa"/>
          </w:tcPr>
          <w:p w:rsidR="005360DC" w:rsidRPr="005360DC" w:rsidRDefault="005360DC" w:rsidP="005360DC">
            <w:pPr>
              <w:spacing w:before="0" w:after="0" w:line="288" w:lineRule="auto"/>
              <w:ind w:left="0"/>
              <w:jc w:val="center"/>
            </w:pPr>
          </w:p>
        </w:tc>
        <w:tc>
          <w:tcPr>
            <w:tcW w:w="1789" w:type="dxa"/>
          </w:tcPr>
          <w:p w:rsidR="005360DC" w:rsidRPr="005360DC" w:rsidRDefault="005360DC" w:rsidP="005360DC">
            <w:pPr>
              <w:spacing w:before="0" w:after="0" w:line="288" w:lineRule="auto"/>
              <w:ind w:left="0"/>
              <w:jc w:val="center"/>
            </w:pPr>
          </w:p>
        </w:tc>
        <w:tc>
          <w:tcPr>
            <w:tcW w:w="1452" w:type="dxa"/>
          </w:tcPr>
          <w:p w:rsidR="005360DC" w:rsidRPr="005360DC" w:rsidRDefault="005360DC" w:rsidP="005360DC">
            <w:pPr>
              <w:spacing w:before="0" w:after="0" w:line="288" w:lineRule="auto"/>
              <w:ind w:left="0"/>
              <w:jc w:val="left"/>
            </w:pPr>
            <w:r w:rsidRPr="005360DC">
              <w:t>Annexe n° _  à l’AE</w:t>
            </w:r>
          </w:p>
        </w:tc>
      </w:tr>
      <w:tr w:rsidR="005360DC" w:rsidRPr="005360DC" w:rsidTr="00F6393B">
        <w:tc>
          <w:tcPr>
            <w:tcW w:w="2235" w:type="dxa"/>
          </w:tcPr>
          <w:p w:rsidR="005360DC" w:rsidRPr="005360DC" w:rsidRDefault="005360DC" w:rsidP="005360DC">
            <w:pPr>
              <w:spacing w:before="0" w:after="0" w:line="288" w:lineRule="auto"/>
              <w:ind w:left="426" w:hanging="426"/>
              <w:jc w:val="left"/>
              <w:rPr>
                <w:color w:val="0070C0"/>
              </w:rPr>
            </w:pPr>
          </w:p>
          <w:p w:rsidR="005360DC" w:rsidRPr="005360DC" w:rsidRDefault="005360DC" w:rsidP="005360DC">
            <w:pPr>
              <w:spacing w:before="0" w:after="0" w:line="288" w:lineRule="auto"/>
              <w:ind w:left="426" w:hanging="426"/>
              <w:jc w:val="left"/>
              <w:rPr>
                <w:color w:val="0070C0"/>
              </w:rPr>
            </w:pPr>
          </w:p>
        </w:tc>
        <w:tc>
          <w:tcPr>
            <w:tcW w:w="1842" w:type="dxa"/>
          </w:tcPr>
          <w:p w:rsidR="005360DC" w:rsidRPr="005360DC" w:rsidRDefault="005360DC" w:rsidP="005360DC">
            <w:pPr>
              <w:spacing w:before="0" w:after="0" w:line="288" w:lineRule="auto"/>
              <w:ind w:left="0"/>
              <w:jc w:val="center"/>
              <w:rPr>
                <w:color w:val="0070C0"/>
              </w:rPr>
            </w:pPr>
          </w:p>
        </w:tc>
        <w:tc>
          <w:tcPr>
            <w:tcW w:w="1789" w:type="dxa"/>
          </w:tcPr>
          <w:p w:rsidR="005360DC" w:rsidRPr="005360DC" w:rsidRDefault="005360DC" w:rsidP="005360DC">
            <w:pPr>
              <w:spacing w:before="0" w:after="0" w:line="288" w:lineRule="auto"/>
              <w:ind w:left="0"/>
              <w:jc w:val="center"/>
            </w:pPr>
          </w:p>
        </w:tc>
        <w:tc>
          <w:tcPr>
            <w:tcW w:w="1789" w:type="dxa"/>
          </w:tcPr>
          <w:p w:rsidR="005360DC" w:rsidRPr="005360DC" w:rsidRDefault="005360DC" w:rsidP="005360DC">
            <w:pPr>
              <w:spacing w:before="0" w:after="0" w:line="288" w:lineRule="auto"/>
              <w:ind w:left="0"/>
              <w:jc w:val="center"/>
            </w:pPr>
          </w:p>
        </w:tc>
        <w:tc>
          <w:tcPr>
            <w:tcW w:w="1452" w:type="dxa"/>
          </w:tcPr>
          <w:p w:rsidR="005360DC" w:rsidRPr="005360DC" w:rsidRDefault="005360DC" w:rsidP="005360DC">
            <w:pPr>
              <w:spacing w:before="0" w:after="0" w:line="288" w:lineRule="auto"/>
              <w:ind w:left="0"/>
              <w:jc w:val="center"/>
            </w:pPr>
            <w:r w:rsidRPr="005360DC">
              <w:t>Annexe n° _  à l’AE</w:t>
            </w:r>
          </w:p>
        </w:tc>
      </w:tr>
      <w:tr w:rsidR="005360DC" w:rsidRPr="005360DC" w:rsidTr="00F6393B">
        <w:tc>
          <w:tcPr>
            <w:tcW w:w="2235" w:type="dxa"/>
          </w:tcPr>
          <w:p w:rsidR="005360DC" w:rsidRPr="005360DC" w:rsidRDefault="005360DC" w:rsidP="005360DC">
            <w:pPr>
              <w:spacing w:before="0" w:after="0" w:line="288" w:lineRule="auto"/>
              <w:ind w:left="426" w:hanging="426"/>
              <w:jc w:val="left"/>
              <w:rPr>
                <w:color w:val="0070C0"/>
              </w:rPr>
            </w:pPr>
          </w:p>
          <w:p w:rsidR="005360DC" w:rsidRPr="005360DC" w:rsidRDefault="005360DC" w:rsidP="005360DC">
            <w:pPr>
              <w:spacing w:before="0" w:after="0" w:line="288" w:lineRule="auto"/>
              <w:ind w:left="426" w:hanging="426"/>
              <w:jc w:val="left"/>
              <w:rPr>
                <w:color w:val="0070C0"/>
              </w:rPr>
            </w:pPr>
          </w:p>
        </w:tc>
        <w:tc>
          <w:tcPr>
            <w:tcW w:w="1842" w:type="dxa"/>
          </w:tcPr>
          <w:p w:rsidR="005360DC" w:rsidRPr="005360DC" w:rsidRDefault="005360DC" w:rsidP="005360DC">
            <w:pPr>
              <w:spacing w:before="0" w:after="0" w:line="288" w:lineRule="auto"/>
              <w:ind w:left="0"/>
              <w:jc w:val="center"/>
            </w:pPr>
          </w:p>
        </w:tc>
        <w:tc>
          <w:tcPr>
            <w:tcW w:w="1789" w:type="dxa"/>
          </w:tcPr>
          <w:p w:rsidR="005360DC" w:rsidRPr="005360DC" w:rsidRDefault="005360DC" w:rsidP="005360DC">
            <w:pPr>
              <w:spacing w:before="0" w:after="0" w:line="288" w:lineRule="auto"/>
              <w:ind w:left="0"/>
              <w:jc w:val="center"/>
            </w:pPr>
          </w:p>
        </w:tc>
        <w:tc>
          <w:tcPr>
            <w:tcW w:w="1789" w:type="dxa"/>
          </w:tcPr>
          <w:p w:rsidR="005360DC" w:rsidRPr="005360DC" w:rsidRDefault="005360DC" w:rsidP="005360DC">
            <w:pPr>
              <w:spacing w:before="0" w:after="0" w:line="288" w:lineRule="auto"/>
              <w:ind w:left="0"/>
              <w:jc w:val="center"/>
            </w:pPr>
          </w:p>
        </w:tc>
        <w:tc>
          <w:tcPr>
            <w:tcW w:w="1452" w:type="dxa"/>
          </w:tcPr>
          <w:p w:rsidR="005360DC" w:rsidRPr="005360DC" w:rsidRDefault="005360DC" w:rsidP="005360DC">
            <w:pPr>
              <w:spacing w:before="0" w:after="0" w:line="288" w:lineRule="auto"/>
              <w:ind w:left="0"/>
              <w:jc w:val="center"/>
            </w:pPr>
            <w:r w:rsidRPr="005360DC">
              <w:t>Annexe n° _  à l’AE</w:t>
            </w:r>
          </w:p>
        </w:tc>
      </w:tr>
    </w:tbl>
    <w:p w:rsidR="005360DC" w:rsidRPr="005360DC" w:rsidRDefault="005360DC" w:rsidP="005360DC">
      <w:pPr>
        <w:spacing w:before="0" w:after="0" w:line="288" w:lineRule="auto"/>
        <w:ind w:left="0"/>
        <w:rPr>
          <w:lang w:eastAsia="fr-FR"/>
        </w:rPr>
      </w:pPr>
    </w:p>
    <w:p w:rsidR="005360DC" w:rsidRPr="005360DC" w:rsidRDefault="005360DC" w:rsidP="005360DC">
      <w:pPr>
        <w:spacing w:before="0" w:after="0" w:line="288" w:lineRule="auto"/>
        <w:ind w:left="0"/>
        <w:rPr>
          <w:lang w:eastAsia="fr-FR"/>
        </w:rPr>
      </w:pPr>
      <w:r w:rsidRPr="005360DC">
        <w:rPr>
          <w:lang w:eastAsia="fr-FR"/>
        </w:rPr>
        <w:t>(*) La TGC en vigueur sera rajoutée lors de la facturation. Le montant TTC est calculé de manière indicative en tenant compte de la TGC en vigueur au moment de la présentation de l’offre, soit __ %.</w:t>
      </w:r>
    </w:p>
    <w:p w:rsidR="005360DC" w:rsidRPr="005360DC" w:rsidRDefault="005360DC" w:rsidP="005360DC">
      <w:pPr>
        <w:spacing w:before="0" w:after="0" w:line="288" w:lineRule="auto"/>
        <w:ind w:left="0"/>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3.2 - Pendant l’exécution du marché</w:t>
      </w:r>
    </w:p>
    <w:p w:rsidR="000816BA" w:rsidRPr="000816BA" w:rsidRDefault="000816BA" w:rsidP="000816BA">
      <w:pPr>
        <w:spacing w:before="0" w:after="0" w:line="288" w:lineRule="auto"/>
        <w:ind w:left="0"/>
        <w:textAlignment w:val="auto"/>
        <w:rPr>
          <w:lang w:eastAsia="fr-FR"/>
        </w:rPr>
      </w:pPr>
    </w:p>
    <w:p w:rsidR="00DE499B" w:rsidRPr="004E167F" w:rsidRDefault="000816BA" w:rsidP="000816BA">
      <w:pPr>
        <w:overflowPunct/>
        <w:autoSpaceDE/>
        <w:autoSpaceDN/>
        <w:adjustRightInd/>
        <w:spacing w:before="0" w:after="0" w:line="288" w:lineRule="auto"/>
        <w:ind w:left="0"/>
        <w:textAlignment w:val="auto"/>
        <w:rPr>
          <w:lang w:eastAsia="fr-FR"/>
        </w:rPr>
      </w:pPr>
      <w:r w:rsidRPr="000816BA">
        <w:rPr>
          <w:lang w:eastAsia="fr-FR"/>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4E167F" w:rsidRDefault="004E167F" w:rsidP="004E167F">
      <w:pPr>
        <w:overflowPunct/>
        <w:autoSpaceDE/>
        <w:autoSpaceDN/>
        <w:adjustRightInd/>
        <w:spacing w:before="0" w:after="0" w:line="288" w:lineRule="auto"/>
        <w:ind w:left="0"/>
        <w:textAlignment w:val="auto"/>
        <w:rPr>
          <w:b/>
          <w:u w:val="single"/>
          <w:lang w:eastAsia="fr-FR"/>
        </w:rPr>
      </w:pPr>
    </w:p>
    <w:p w:rsidR="003A3C4E" w:rsidRPr="004E167F" w:rsidRDefault="003A3C4E"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4 – NANTISSEMENT</w:t>
      </w:r>
    </w:p>
    <w:p w:rsidR="004E167F" w:rsidRPr="004E167F" w:rsidRDefault="004E167F" w:rsidP="004E167F">
      <w:pPr>
        <w:overflowPunct/>
        <w:autoSpaceDE/>
        <w:autoSpaceDN/>
        <w:adjustRightInd/>
        <w:spacing w:before="0" w:after="0" w:line="288" w:lineRule="auto"/>
        <w:ind w:left="0"/>
        <w:textAlignment w:val="auto"/>
        <w:rPr>
          <w:lang w:eastAsia="fr-FR"/>
        </w:rPr>
      </w:pPr>
    </w:p>
    <w:p w:rsidR="00596AE8" w:rsidRPr="00596AE8" w:rsidRDefault="00596AE8" w:rsidP="00596AE8">
      <w:pPr>
        <w:spacing w:before="0" w:after="0" w:line="288" w:lineRule="auto"/>
        <w:ind w:left="0"/>
        <w:rPr>
          <w:lang w:eastAsia="fr-FR"/>
        </w:rPr>
      </w:pPr>
      <w:r w:rsidRPr="00596AE8">
        <w:rPr>
          <w:lang w:eastAsia="fr-FR"/>
        </w:rPr>
        <w:t>Le montant maximal de la créance que je pourrai (nous pourrons) présenter en nantissement, déterminé en déduisant du montant du marché, la somme des montants sous-traités prévus à l’article 3 ci-avant, est de : ……………………………… FCFP HT.</w:t>
      </w:r>
    </w:p>
    <w:p w:rsidR="00596AE8" w:rsidRPr="00596AE8" w:rsidRDefault="00596AE8" w:rsidP="00596AE8">
      <w:pPr>
        <w:spacing w:before="0" w:after="0" w:line="288" w:lineRule="auto"/>
        <w:ind w:left="0"/>
        <w:rPr>
          <w:lang w:eastAsia="fr-FR"/>
        </w:rPr>
      </w:pPr>
    </w:p>
    <w:p w:rsidR="00596AE8" w:rsidRPr="00596AE8" w:rsidRDefault="00596AE8" w:rsidP="00596AE8">
      <w:pPr>
        <w:spacing w:before="0" w:after="0" w:line="288" w:lineRule="auto"/>
        <w:ind w:left="0"/>
        <w:rPr>
          <w:lang w:eastAsia="fr-FR"/>
        </w:rPr>
      </w:pPr>
      <w:r w:rsidRPr="00596AE8">
        <w:rPr>
          <w:lang w:eastAsia="fr-FR"/>
        </w:rPr>
        <w:t xml:space="preserve">Le montant TTC calculé de manière indicative en tenant compte de la TGC en vigueur au moment de la présentation de l’offre, soit __ </w:t>
      </w:r>
      <w:proofErr w:type="gramStart"/>
      <w:r w:rsidRPr="00596AE8">
        <w:rPr>
          <w:lang w:eastAsia="fr-FR"/>
        </w:rPr>
        <w:t>% ,</w:t>
      </w:r>
      <w:proofErr w:type="gramEnd"/>
      <w:r w:rsidRPr="00596AE8">
        <w:rPr>
          <w:lang w:eastAsia="fr-FR"/>
        </w:rPr>
        <w:t xml:space="preserve"> est de : ………………………………….. FCFP TTC.</w:t>
      </w:r>
    </w:p>
    <w:p w:rsidR="00596AE8" w:rsidRPr="00596AE8" w:rsidRDefault="00596AE8" w:rsidP="00596AE8">
      <w:pPr>
        <w:spacing w:before="0" w:after="0" w:line="288" w:lineRule="auto"/>
        <w:ind w:left="0"/>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p>
    <w:p w:rsidR="00D47D3C" w:rsidRPr="00D47D3C" w:rsidRDefault="00D47D3C" w:rsidP="00D47D3C">
      <w:pPr>
        <w:overflowPunct/>
        <w:autoSpaceDE/>
        <w:autoSpaceDN/>
        <w:adjustRightInd/>
        <w:spacing w:before="0" w:after="0" w:line="288" w:lineRule="auto"/>
        <w:ind w:left="0"/>
        <w:textAlignment w:val="auto"/>
        <w:rPr>
          <w:b/>
          <w:u w:val="single"/>
          <w:lang w:eastAsia="fr-FR"/>
        </w:rPr>
      </w:pPr>
      <w:r w:rsidRPr="00D47D3C">
        <w:rPr>
          <w:b/>
          <w:u w:val="single"/>
          <w:lang w:eastAsia="fr-FR"/>
        </w:rPr>
        <w:lastRenderedPageBreak/>
        <w:t>ARTICLE 5 –DELAIS DU MARCHÉ</w:t>
      </w:r>
      <w:r>
        <w:rPr>
          <w:b/>
          <w:u w:val="single"/>
          <w:lang w:eastAsia="fr-FR"/>
        </w:rPr>
        <w:t xml:space="preserve"> SUBSEQUENT</w:t>
      </w:r>
    </w:p>
    <w:p w:rsidR="00D47D3C" w:rsidRPr="00D47D3C" w:rsidRDefault="00D47D3C" w:rsidP="00D47D3C">
      <w:pPr>
        <w:overflowPunct/>
        <w:autoSpaceDE/>
        <w:autoSpaceDN/>
        <w:adjustRightInd/>
        <w:spacing w:before="0" w:after="0" w:line="288" w:lineRule="auto"/>
        <w:ind w:left="0"/>
        <w:textAlignment w:val="auto"/>
        <w:rPr>
          <w:b/>
          <w:u w:val="single"/>
          <w:lang w:eastAsia="fr-FR"/>
        </w:rPr>
      </w:pPr>
    </w:p>
    <w:sdt>
      <w:sdtPr>
        <w:id w:val="118887151"/>
      </w:sdtPr>
      <w:sdtEndPr>
        <w:rPr>
          <w:lang w:eastAsia="fr-FR"/>
        </w:rPr>
      </w:sdtEndPr>
      <w:sdtContent>
        <w:p w:rsidR="00E130ED" w:rsidRDefault="00F2448C" w:rsidP="00E130ED">
          <w:pPr>
            <w:overflowPunct/>
            <w:autoSpaceDE/>
            <w:autoSpaceDN/>
            <w:adjustRightInd/>
            <w:spacing w:before="0" w:after="0" w:line="288" w:lineRule="auto"/>
            <w:ind w:left="0"/>
            <w:textAlignment w:val="auto"/>
            <w:rPr>
              <w:lang w:eastAsia="fr-FR"/>
            </w:rPr>
          </w:pPr>
          <w:sdt>
            <w:sdtPr>
              <w:id w:val="1594518031"/>
              <w14:checkbox>
                <w14:checked w14:val="0"/>
                <w14:checkedState w14:val="2612" w14:font="MS Gothic"/>
                <w14:uncheckedState w14:val="2610" w14:font="MS Gothic"/>
              </w14:checkbox>
            </w:sdtPr>
            <w:sdtEndPr/>
            <w:sdtContent>
              <w:r w:rsidR="00596AE8">
                <w:rPr>
                  <w:rFonts w:ascii="MS Gothic" w:eastAsia="MS Gothic" w:hAnsi="MS Gothic" w:hint="eastAsia"/>
                </w:rPr>
                <w:t>☐</w:t>
              </w:r>
            </w:sdtContent>
          </w:sdt>
          <w:r w:rsidR="00596AE8">
            <w:t xml:space="preserve"> </w:t>
          </w:r>
          <w:r w:rsidR="00E130ED" w:rsidRPr="00D47D3C">
            <w:rPr>
              <w:lang w:eastAsia="fr-FR"/>
            </w:rPr>
            <w:t xml:space="preserve">Le délai d’exécution </w:t>
          </w:r>
          <w:r w:rsidR="00E130ED">
            <w:rPr>
              <w:lang w:eastAsia="fr-FR"/>
            </w:rPr>
            <w:t xml:space="preserve">global est de </w:t>
          </w:r>
          <w:r w:rsidR="00E130ED" w:rsidRPr="00D47D3C">
            <w:rPr>
              <w:lang w:eastAsia="fr-FR"/>
            </w:rPr>
            <w:t xml:space="preserve">: ………. </w:t>
          </w:r>
          <w:r w:rsidR="00E130ED" w:rsidRPr="003C457F">
            <w:rPr>
              <w:color w:val="0070C0"/>
              <w:lang w:eastAsia="fr-FR"/>
            </w:rPr>
            <w:t>semaines</w:t>
          </w:r>
          <w:r w:rsidR="00E130ED">
            <w:rPr>
              <w:lang w:eastAsia="fr-FR"/>
            </w:rPr>
            <w:t>.</w:t>
          </w:r>
        </w:p>
        <w:p w:rsidR="00E130ED" w:rsidRPr="004E167F" w:rsidRDefault="00E130ED" w:rsidP="00E130ED">
          <w:pPr>
            <w:overflowPunct/>
            <w:autoSpaceDE/>
            <w:autoSpaceDN/>
            <w:adjustRightInd/>
            <w:spacing w:before="0" w:after="0" w:line="288" w:lineRule="auto"/>
            <w:ind w:left="0"/>
            <w:textAlignment w:val="auto"/>
            <w:rPr>
              <w:lang w:eastAsia="fr-FR"/>
            </w:rPr>
          </w:pPr>
          <w:r w:rsidRPr="00D47D3C">
            <w:rPr>
              <w:lang w:eastAsia="fr-FR"/>
            </w:rPr>
            <w:t>Il commencera à</w:t>
          </w:r>
          <w:r>
            <w:rPr>
              <w:lang w:eastAsia="fr-FR"/>
            </w:rPr>
            <w:t xml:space="preserve"> courir comme indiqué à l’article </w:t>
          </w:r>
          <w:r w:rsidR="00546E4A">
            <w:rPr>
              <w:lang w:eastAsia="fr-FR"/>
            </w:rPr>
            <w:t>4.5</w:t>
          </w:r>
          <w:r>
            <w:rPr>
              <w:lang w:eastAsia="fr-FR"/>
            </w:rPr>
            <w:t>.2.1 du CCAP du marché cadre</w:t>
          </w:r>
          <w:r w:rsidRPr="00D47D3C">
            <w:rPr>
              <w:lang w:eastAsia="fr-FR"/>
            </w:rPr>
            <w:t>.</w:t>
          </w:r>
        </w:p>
        <w:p w:rsidR="00E130ED" w:rsidRDefault="00F2448C" w:rsidP="00E130ED">
          <w:pPr>
            <w:overflowPunct/>
            <w:autoSpaceDE/>
            <w:autoSpaceDN/>
            <w:adjustRightInd/>
            <w:spacing w:before="0" w:after="0" w:line="288" w:lineRule="auto"/>
            <w:ind w:left="0"/>
            <w:textAlignment w:val="auto"/>
            <w:rPr>
              <w:lang w:eastAsia="fr-FR"/>
            </w:rPr>
          </w:pPr>
        </w:p>
      </w:sdtContent>
    </w:sdt>
    <w:sdt>
      <w:sdtPr>
        <w:rPr>
          <w:lang w:eastAsia="fr-FR"/>
        </w:rPr>
        <w:id w:val="-1248881965"/>
      </w:sdtPr>
      <w:sdtEndPr/>
      <w:sdtContent>
        <w:p w:rsidR="00596AE8" w:rsidRPr="00596AE8" w:rsidRDefault="00F2448C" w:rsidP="00596AE8">
          <w:pPr>
            <w:spacing w:before="0" w:after="0" w:line="288" w:lineRule="auto"/>
            <w:ind w:left="0"/>
            <w:rPr>
              <w:lang w:eastAsia="fr-FR"/>
            </w:rPr>
          </w:pPr>
          <w:sdt>
            <w:sdtPr>
              <w:rPr>
                <w:lang w:eastAsia="fr-FR"/>
              </w:rPr>
              <w:id w:val="-434285104"/>
              <w14:checkbox>
                <w14:checked w14:val="0"/>
                <w14:checkedState w14:val="2612" w14:font="MS Gothic"/>
                <w14:uncheckedState w14:val="2610" w14:font="MS Gothic"/>
              </w14:checkbox>
            </w:sdtPr>
            <w:sdtEndPr/>
            <w:sdtContent>
              <w:r w:rsidR="00596AE8" w:rsidRPr="00596AE8">
                <w:rPr>
                  <w:rFonts w:eastAsia="MS Gothic" w:hint="eastAsia"/>
                  <w:lang w:eastAsia="fr-FR"/>
                </w:rPr>
                <w:t>☐</w:t>
              </w:r>
            </w:sdtContent>
          </w:sdt>
          <w:r w:rsidR="00596AE8" w:rsidRPr="00596AE8">
            <w:rPr>
              <w:lang w:eastAsia="fr-FR"/>
            </w:rPr>
            <w:t xml:space="preserve"> Les prestations du présent marché seront exécutées dans les délais indiqués dans le tableau ci-après.</w:t>
          </w:r>
        </w:p>
        <w:p w:rsidR="00596AE8" w:rsidRPr="00596AE8" w:rsidRDefault="00596AE8" w:rsidP="00596AE8">
          <w:pPr>
            <w:spacing w:before="0" w:after="0" w:line="288" w:lineRule="auto"/>
            <w:ind w:left="0"/>
            <w:rPr>
              <w:lang w:eastAsia="fr-FR"/>
            </w:rPr>
          </w:pPr>
          <w:r w:rsidRPr="00596AE8">
            <w:rPr>
              <w:lang w:eastAsia="fr-FR"/>
            </w:rPr>
            <w:t>Les autres délais d’exécution éventuels sont précisés dans le CCAP.</w:t>
          </w:r>
        </w:p>
        <w:tbl>
          <w:tblPr>
            <w:tblStyle w:val="Grilledutableau3"/>
            <w:tblW w:w="0" w:type="auto"/>
            <w:tblInd w:w="108" w:type="dxa"/>
            <w:tblLook w:val="04A0" w:firstRow="1" w:lastRow="0" w:firstColumn="1" w:lastColumn="0" w:noHBand="0" w:noVBand="1"/>
          </w:tblPr>
          <w:tblGrid>
            <w:gridCol w:w="3070"/>
            <w:gridCol w:w="2000"/>
            <w:gridCol w:w="4002"/>
          </w:tblGrid>
          <w:tr w:rsidR="00596AE8" w:rsidRPr="00596AE8" w:rsidTr="00596AE8">
            <w:tc>
              <w:tcPr>
                <w:tcW w:w="3070" w:type="dxa"/>
              </w:tcPr>
              <w:p w:rsidR="00596AE8" w:rsidRPr="00596AE8" w:rsidRDefault="00787865" w:rsidP="00787865">
                <w:pPr>
                  <w:spacing w:before="0" w:after="0" w:line="288" w:lineRule="auto"/>
                  <w:ind w:left="0"/>
                </w:pPr>
                <w:r>
                  <w:t>Prestation</w:t>
                </w:r>
              </w:p>
            </w:tc>
            <w:tc>
              <w:tcPr>
                <w:tcW w:w="2000" w:type="dxa"/>
              </w:tcPr>
              <w:p w:rsidR="00596AE8" w:rsidRPr="00596AE8" w:rsidRDefault="00596AE8" w:rsidP="00596AE8">
                <w:pPr>
                  <w:spacing w:before="0" w:after="0" w:line="288" w:lineRule="auto"/>
                  <w:ind w:left="0"/>
                </w:pPr>
                <w:r w:rsidRPr="00596AE8">
                  <w:t xml:space="preserve">Délai </w:t>
                </w:r>
                <w:r w:rsidRPr="00596AE8">
                  <w:rPr>
                    <w:color w:val="0070C0"/>
                  </w:rPr>
                  <w:t>en semaines</w:t>
                </w:r>
              </w:p>
            </w:tc>
            <w:tc>
              <w:tcPr>
                <w:tcW w:w="4002" w:type="dxa"/>
              </w:tcPr>
              <w:p w:rsidR="00596AE8" w:rsidRPr="00596AE8" w:rsidRDefault="00596AE8" w:rsidP="00596AE8">
                <w:pPr>
                  <w:spacing w:before="0" w:after="0" w:line="288" w:lineRule="auto"/>
                  <w:ind w:left="0"/>
                </w:pPr>
                <w:r w:rsidRPr="00596AE8">
                  <w:t>Date de démarrage</w:t>
                </w:r>
              </w:p>
            </w:tc>
          </w:tr>
          <w:tr w:rsidR="00596AE8" w:rsidRPr="00596AE8" w:rsidTr="00596AE8">
            <w:tc>
              <w:tcPr>
                <w:tcW w:w="3070" w:type="dxa"/>
              </w:tcPr>
              <w:p w:rsidR="00596AE8" w:rsidRPr="00596AE8" w:rsidRDefault="00596AE8" w:rsidP="00596AE8">
                <w:pPr>
                  <w:spacing w:before="0" w:after="0" w:line="288" w:lineRule="auto"/>
                  <w:ind w:left="0"/>
                </w:pPr>
              </w:p>
            </w:tc>
            <w:tc>
              <w:tcPr>
                <w:tcW w:w="2000" w:type="dxa"/>
              </w:tcPr>
              <w:p w:rsidR="00596AE8" w:rsidRPr="00596AE8" w:rsidRDefault="00596AE8" w:rsidP="00596AE8">
                <w:pPr>
                  <w:spacing w:before="0" w:after="0" w:line="288" w:lineRule="auto"/>
                  <w:ind w:left="0"/>
                </w:pPr>
              </w:p>
            </w:tc>
            <w:tc>
              <w:tcPr>
                <w:tcW w:w="4002" w:type="dxa"/>
              </w:tcPr>
              <w:p w:rsidR="00596AE8" w:rsidRPr="00596AE8" w:rsidRDefault="00596AE8" w:rsidP="00596AE8">
                <w:pPr>
                  <w:spacing w:before="0" w:after="0" w:line="288" w:lineRule="auto"/>
                  <w:ind w:left="0"/>
                  <w:jc w:val="left"/>
                  <w:rPr>
                    <w:color w:val="0070C0"/>
                  </w:rPr>
                </w:pPr>
                <w:r>
                  <w:rPr>
                    <w:color w:val="0070C0"/>
                  </w:rPr>
                  <w:t xml:space="preserve">Cf. </w:t>
                </w:r>
                <w:r w:rsidRPr="00596AE8">
                  <w:rPr>
                    <w:color w:val="0070C0"/>
                  </w:rPr>
                  <w:t xml:space="preserve">article </w:t>
                </w:r>
                <w:r w:rsidR="00546E4A">
                  <w:rPr>
                    <w:color w:val="0070C0"/>
                  </w:rPr>
                  <w:t>4.5</w:t>
                </w:r>
                <w:r w:rsidRPr="00596AE8">
                  <w:rPr>
                    <w:color w:val="0070C0"/>
                  </w:rPr>
                  <w:t>.2.1 du CCAP du marché cadre</w:t>
                </w:r>
              </w:p>
            </w:tc>
          </w:tr>
          <w:tr w:rsidR="00596AE8" w:rsidRPr="00596AE8" w:rsidTr="00596AE8">
            <w:tc>
              <w:tcPr>
                <w:tcW w:w="3070" w:type="dxa"/>
              </w:tcPr>
              <w:p w:rsidR="00596AE8" w:rsidRPr="00596AE8" w:rsidRDefault="00596AE8" w:rsidP="00596AE8">
                <w:pPr>
                  <w:spacing w:before="0" w:after="0" w:line="288" w:lineRule="auto"/>
                  <w:ind w:left="0"/>
                </w:pPr>
              </w:p>
            </w:tc>
            <w:tc>
              <w:tcPr>
                <w:tcW w:w="2000" w:type="dxa"/>
              </w:tcPr>
              <w:p w:rsidR="00596AE8" w:rsidRPr="00596AE8" w:rsidRDefault="00596AE8" w:rsidP="00596AE8">
                <w:pPr>
                  <w:spacing w:before="0" w:after="0" w:line="288" w:lineRule="auto"/>
                  <w:ind w:left="0"/>
                </w:pPr>
              </w:p>
            </w:tc>
            <w:tc>
              <w:tcPr>
                <w:tcW w:w="4002" w:type="dxa"/>
              </w:tcPr>
              <w:p w:rsidR="00596AE8" w:rsidRPr="00596AE8" w:rsidRDefault="00596AE8" w:rsidP="00596AE8">
                <w:pPr>
                  <w:spacing w:before="0" w:after="0" w:line="288" w:lineRule="auto"/>
                  <w:ind w:left="0"/>
                  <w:jc w:val="left"/>
                  <w:rPr>
                    <w:color w:val="0070C0"/>
                  </w:rPr>
                </w:pPr>
                <w:r>
                  <w:rPr>
                    <w:color w:val="0070C0"/>
                  </w:rPr>
                  <w:t xml:space="preserve">Cf. </w:t>
                </w:r>
                <w:r w:rsidRPr="00596AE8">
                  <w:rPr>
                    <w:color w:val="0070C0"/>
                  </w:rPr>
                  <w:t xml:space="preserve">article </w:t>
                </w:r>
                <w:r w:rsidR="00546E4A">
                  <w:rPr>
                    <w:color w:val="0070C0"/>
                  </w:rPr>
                  <w:t>4.5</w:t>
                </w:r>
                <w:r w:rsidRPr="00596AE8">
                  <w:rPr>
                    <w:color w:val="0070C0"/>
                  </w:rPr>
                  <w:t>.2.1 du CCAP du marché cadre</w:t>
                </w:r>
              </w:p>
            </w:tc>
          </w:tr>
          <w:tr w:rsidR="00596AE8" w:rsidRPr="00596AE8" w:rsidTr="00596AE8">
            <w:tc>
              <w:tcPr>
                <w:tcW w:w="3070" w:type="dxa"/>
              </w:tcPr>
              <w:p w:rsidR="00596AE8" w:rsidRPr="00596AE8" w:rsidRDefault="00596AE8" w:rsidP="00596AE8">
                <w:pPr>
                  <w:spacing w:before="0" w:after="0" w:line="288" w:lineRule="auto"/>
                  <w:ind w:left="0"/>
                </w:pPr>
              </w:p>
            </w:tc>
            <w:tc>
              <w:tcPr>
                <w:tcW w:w="2000" w:type="dxa"/>
              </w:tcPr>
              <w:p w:rsidR="00596AE8" w:rsidRPr="00596AE8" w:rsidRDefault="00596AE8" w:rsidP="00596AE8">
                <w:pPr>
                  <w:spacing w:before="0" w:after="0" w:line="288" w:lineRule="auto"/>
                  <w:ind w:left="0"/>
                </w:pPr>
              </w:p>
            </w:tc>
            <w:tc>
              <w:tcPr>
                <w:tcW w:w="4002" w:type="dxa"/>
              </w:tcPr>
              <w:p w:rsidR="00596AE8" w:rsidRPr="00596AE8" w:rsidRDefault="00596AE8" w:rsidP="00596AE8">
                <w:pPr>
                  <w:spacing w:before="0" w:after="0" w:line="288" w:lineRule="auto"/>
                  <w:ind w:left="0"/>
                  <w:jc w:val="left"/>
                  <w:rPr>
                    <w:color w:val="0070C0"/>
                  </w:rPr>
                </w:pPr>
                <w:r>
                  <w:rPr>
                    <w:color w:val="0070C0"/>
                  </w:rPr>
                  <w:t xml:space="preserve">Cf. </w:t>
                </w:r>
                <w:r w:rsidRPr="00596AE8">
                  <w:rPr>
                    <w:color w:val="0070C0"/>
                  </w:rPr>
                  <w:t xml:space="preserve">article </w:t>
                </w:r>
                <w:r w:rsidR="00546E4A">
                  <w:rPr>
                    <w:color w:val="0070C0"/>
                  </w:rPr>
                  <w:t>4.5</w:t>
                </w:r>
                <w:r w:rsidRPr="00596AE8">
                  <w:rPr>
                    <w:color w:val="0070C0"/>
                  </w:rPr>
                  <w:t>.2.1 du CCAP du marché cadre</w:t>
                </w:r>
              </w:p>
            </w:tc>
          </w:tr>
        </w:tbl>
        <w:p w:rsidR="00596AE8" w:rsidRDefault="00F2448C" w:rsidP="00E130ED">
          <w:pPr>
            <w:overflowPunct/>
            <w:autoSpaceDE/>
            <w:autoSpaceDN/>
            <w:adjustRightInd/>
            <w:spacing w:before="0" w:after="0" w:line="288" w:lineRule="auto"/>
            <w:ind w:left="0"/>
            <w:textAlignment w:val="auto"/>
            <w:rPr>
              <w:lang w:eastAsia="fr-FR"/>
            </w:rPr>
          </w:pPr>
        </w:p>
      </w:sdtContent>
    </w:sdt>
    <w:p w:rsidR="00DE499B" w:rsidRPr="004E167F"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6</w:t>
      </w:r>
      <w:r w:rsidRPr="004E167F">
        <w:rPr>
          <w:b/>
          <w:u w:val="single"/>
          <w:lang w:eastAsia="fr-FR"/>
        </w:rPr>
        <w:t xml:space="preserve"> – PAIEMENTS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L’acheteur public se libérera des sommes dues au titre du présent marché subséquent en en faisant porter le montant au crédit du compte spécifié dans le marché cadre.</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r>
        <w:t>L’acheteur public se libérera des sommes dues aux sous-traitants payés directement en faisant porter les montants au crédit des comptes désignés dans les annexes à l'acte d'engagement, les avenants ou actes spéciaux.</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7</w:t>
      </w:r>
      <w:r w:rsidRPr="004E167F">
        <w:rPr>
          <w:b/>
          <w:u w:val="single"/>
          <w:lang w:eastAsia="fr-FR"/>
        </w:rPr>
        <w:t xml:space="preserve"> – AVANCE</w:t>
      </w:r>
    </w:p>
    <w:p w:rsidR="004E167F" w:rsidRPr="004E167F" w:rsidRDefault="004E167F" w:rsidP="004E167F">
      <w:pPr>
        <w:overflowPunct/>
        <w:autoSpaceDE/>
        <w:autoSpaceDN/>
        <w:adjustRightInd/>
        <w:spacing w:before="0" w:after="0" w:line="288" w:lineRule="auto"/>
        <w:ind w:left="0"/>
        <w:textAlignment w:val="auto"/>
        <w:rPr>
          <w:lang w:eastAsia="fr-FR"/>
        </w:rPr>
      </w:pPr>
    </w:p>
    <w:sdt>
      <w:sdtPr>
        <w:rPr>
          <w:lang w:eastAsia="fr-FR"/>
        </w:rPr>
        <w:id w:val="837041529"/>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1343077762"/>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sidRPr="004E167F">
            <w:rPr>
              <w:lang w:eastAsia="fr-FR"/>
            </w:rPr>
            <w:t xml:space="preserve">  </w:t>
          </w:r>
          <w:r w:rsidR="00B66158" w:rsidRPr="00D47D3C">
            <w:rPr>
              <w:lang w:eastAsia="fr-FR"/>
            </w:rPr>
            <w:t>Sans objet. Aucune avance ne sera versée au titre du présent marché.</w:t>
          </w:r>
        </w:p>
      </w:sdtContent>
    </w:sdt>
    <w:sdt>
      <w:sdtPr>
        <w:rPr>
          <w:lang w:eastAsia="fr-FR"/>
        </w:rPr>
        <w:id w:val="-1642111471"/>
      </w:sdtPr>
      <w:sdtEndPr>
        <w:rPr>
          <w:b/>
          <w:u w:val="single"/>
        </w:rPr>
      </w:sdtEndPr>
      <w:sdtContent>
        <w:p w:rsidR="00B66158" w:rsidRPr="004E167F" w:rsidRDefault="00F2448C" w:rsidP="00B66158">
          <w:pPr>
            <w:overflowPunct/>
            <w:autoSpaceDE/>
            <w:autoSpaceDN/>
            <w:adjustRightInd/>
            <w:spacing w:before="0" w:after="0" w:line="288" w:lineRule="auto"/>
            <w:ind w:left="0"/>
            <w:textAlignment w:val="auto"/>
            <w:rPr>
              <w:lang w:eastAsia="fr-FR"/>
            </w:rPr>
          </w:pPr>
          <w:sdt>
            <w:sdtPr>
              <w:rPr>
                <w:lang w:eastAsia="fr-FR"/>
              </w:rPr>
              <w:id w:val="-1968193700"/>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Pr>
              <w:lang w:eastAsia="fr-FR"/>
            </w:rPr>
            <w:t xml:space="preserve"> </w:t>
          </w:r>
          <w:r w:rsidR="00B66158" w:rsidRPr="00D47D3C">
            <w:rPr>
              <w:lang w:eastAsia="fr-FR"/>
            </w:rPr>
            <w:t xml:space="preserve">Le titulaire </w:t>
          </w:r>
          <w:r w:rsidR="00B66158">
            <w:t xml:space="preserve">ou le sous-traitant </w:t>
          </w:r>
          <w:r w:rsidR="00B66158" w:rsidRPr="00D47D3C">
            <w:rPr>
              <w:lang w:eastAsia="fr-FR"/>
            </w:rPr>
            <w:t xml:space="preserve">pourra bénéficier d’une avance d’un montant maximal correspondant à </w:t>
          </w:r>
          <w:r w:rsidR="00B66158" w:rsidRPr="00D47D3C">
            <w:rPr>
              <w:color w:val="0070C0"/>
              <w:lang w:eastAsia="fr-FR"/>
            </w:rPr>
            <w:t>5</w:t>
          </w:r>
          <w:r w:rsidR="00B66158" w:rsidRPr="00D47D3C">
            <w:rPr>
              <w:lang w:eastAsia="fr-FR"/>
            </w:rPr>
            <w:t xml:space="preserve"> % du montant </w:t>
          </w:r>
          <w:r w:rsidR="00B66158">
            <w:rPr>
              <w:lang w:eastAsia="fr-FR"/>
            </w:rPr>
            <w:t>du montant du marché subséquent</w:t>
          </w:r>
          <w:r w:rsidR="00253981">
            <w:rPr>
              <w:lang w:eastAsia="fr-FR"/>
            </w:rPr>
            <w:t xml:space="preserve"> qui lui est propre</w:t>
          </w:r>
          <w:r w:rsidR="00B66158" w:rsidRPr="00D47D3C">
            <w:rPr>
              <w:lang w:eastAsia="fr-FR"/>
            </w:rPr>
            <w:t>, dans les conditions fixées à l’article 8.4 du CCAP</w:t>
          </w:r>
          <w:r w:rsidR="00B66158">
            <w:rPr>
              <w:lang w:eastAsia="fr-FR"/>
            </w:rPr>
            <w:t xml:space="preserve"> du marché cadre</w:t>
          </w:r>
          <w:r w:rsidR="00B66158" w:rsidRPr="00D47D3C">
            <w:rPr>
              <w:lang w:eastAsia="fr-FR"/>
            </w:rPr>
            <w:t>.</w:t>
          </w:r>
        </w:p>
        <w:p w:rsidR="00B66158" w:rsidRPr="004E167F" w:rsidRDefault="00B66158" w:rsidP="00B66158">
          <w:pPr>
            <w:overflowPunct/>
            <w:autoSpaceDE/>
            <w:autoSpaceDN/>
            <w:adjustRightInd/>
            <w:spacing w:before="0" w:after="0" w:line="288" w:lineRule="auto"/>
            <w:ind w:left="0"/>
            <w:textAlignment w:val="auto"/>
            <w:rPr>
              <w:b/>
              <w:u w:val="single"/>
              <w:lang w:eastAsia="fr-FR"/>
            </w:rPr>
          </w:pPr>
        </w:p>
        <w:p w:rsidR="00B66158" w:rsidRPr="00864BE4" w:rsidRDefault="00B66158" w:rsidP="00B66158">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864BE4">
            <w:rPr>
              <w:lang w:eastAsia="fr-FR"/>
            </w:rPr>
            <w:t xml:space="preserve">Je demande le versement de cette avance </w:t>
          </w:r>
          <w:r w:rsidR="00525906">
            <w:rPr>
              <w:lang w:eastAsia="fr-FR"/>
            </w:rPr>
            <w:t xml:space="preserve">à hauteur de …. % </w:t>
          </w:r>
          <w:r w:rsidRPr="00864BE4">
            <w:rPr>
              <w:lang w:eastAsia="fr-FR"/>
            </w:rPr>
            <w:t>et produirai une caution personnelle et solidaire en contrepartie si elle est exigée conformément à l’article 8.4.2 du CCAP.</w:t>
          </w:r>
        </w:p>
        <w:p w:rsidR="00B66158" w:rsidRPr="00864BE4" w:rsidRDefault="00B66158" w:rsidP="00B66158">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864BE4">
            <w:rPr>
              <w:lang w:eastAsia="fr-FR"/>
            </w:rPr>
            <w:t>Je refuse le versement de cette avance.</w:t>
          </w:r>
        </w:p>
        <w:p w:rsidR="00B66158" w:rsidRPr="00864BE4" w:rsidRDefault="00B66158" w:rsidP="00B66158">
          <w:pPr>
            <w:spacing w:before="0" w:after="0" w:line="288" w:lineRule="auto"/>
            <w:ind w:left="0"/>
            <w:jc w:val="left"/>
            <w:textAlignment w:val="auto"/>
            <w:rPr>
              <w:lang w:eastAsia="fr-FR"/>
            </w:rPr>
          </w:pPr>
          <w:r w:rsidRPr="00864BE4">
            <w:rPr>
              <w:lang w:eastAsia="fr-FR"/>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DF0968" w:rsidRPr="004E167F" w:rsidRDefault="00F2448C" w:rsidP="004E167F">
          <w:pPr>
            <w:overflowPunct/>
            <w:autoSpaceDE/>
            <w:autoSpaceDN/>
            <w:adjustRightInd/>
            <w:spacing w:before="0" w:after="0" w:line="288" w:lineRule="auto"/>
            <w:ind w:left="0"/>
            <w:textAlignment w:val="auto"/>
            <w:rPr>
              <w:b/>
              <w:u w:val="single"/>
              <w:lang w:eastAsia="fr-FR"/>
            </w:rPr>
          </w:pPr>
        </w:p>
      </w:sdtContent>
    </w:sdt>
    <w:p w:rsidR="004E167F" w:rsidRPr="004E167F" w:rsidRDefault="004E167F" w:rsidP="004E167F">
      <w:pPr>
        <w:overflowPunct/>
        <w:autoSpaceDE/>
        <w:autoSpaceDN/>
        <w:adjustRightInd/>
        <w:spacing w:before="0" w:after="0" w:line="288" w:lineRule="auto"/>
        <w:ind w:left="0"/>
        <w:textAlignment w:val="auto"/>
        <w:rPr>
          <w:b/>
          <w:u w:val="single"/>
          <w:lang w:eastAsia="fr-FR"/>
        </w:rPr>
      </w:pPr>
    </w:p>
    <w:p w:rsidR="00B66158" w:rsidRPr="004E167F" w:rsidRDefault="00B66158" w:rsidP="00B66158">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Pr>
          <w:b/>
          <w:u w:val="single"/>
          <w:lang w:eastAsia="fr-FR"/>
        </w:rPr>
        <w:t>8</w:t>
      </w:r>
      <w:r w:rsidRPr="004E167F">
        <w:rPr>
          <w:b/>
          <w:u w:val="single"/>
          <w:lang w:eastAsia="fr-FR"/>
        </w:rPr>
        <w:t xml:space="preserve"> – A</w:t>
      </w:r>
      <w:r>
        <w:rPr>
          <w:b/>
          <w:u w:val="single"/>
          <w:lang w:eastAsia="fr-FR"/>
        </w:rPr>
        <w:t>NNEXES AU PRESENT MARCHE SUBSEQUENT</w:t>
      </w:r>
    </w:p>
    <w:p w:rsidR="00B66158" w:rsidRDefault="00B66158" w:rsidP="00B66158">
      <w:pPr>
        <w:overflowPunct/>
        <w:autoSpaceDE/>
        <w:autoSpaceDN/>
        <w:adjustRightInd/>
        <w:spacing w:before="0" w:after="0" w:line="288" w:lineRule="auto"/>
        <w:ind w:left="0"/>
        <w:textAlignment w:val="auto"/>
        <w:rPr>
          <w:rFonts w:ascii="MS Gothic" w:eastAsia="MS Gothic" w:hAnsi="MS Gothic" w:cs="MS Gothic"/>
          <w:lang w:eastAsia="fr-FR"/>
        </w:rPr>
      </w:pPr>
    </w:p>
    <w:sdt>
      <w:sdtPr>
        <w:rPr>
          <w:lang w:eastAsia="fr-FR"/>
        </w:rPr>
        <w:id w:val="657737471"/>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1698588029"/>
              <w14:checkbox>
                <w14:checked w14:val="0"/>
                <w14:checkedState w14:val="2612" w14:font="MS Gothic"/>
                <w14:uncheckedState w14:val="2610" w14:font="MS Gothic"/>
              </w14:checkbox>
            </w:sdtPr>
            <w:sdtEndPr/>
            <w:sdtContent>
              <w:r w:rsidR="00B66158">
                <w:rPr>
                  <w:rFonts w:ascii="MS Gothic" w:eastAsia="MS Gothic" w:hAnsi="MS Gothic" w:hint="eastAsia"/>
                  <w:lang w:eastAsia="fr-FR"/>
                </w:rPr>
                <w:t>☐</w:t>
              </w:r>
            </w:sdtContent>
          </w:sdt>
          <w:r w:rsidR="00B66158">
            <w:rPr>
              <w:lang w:eastAsia="fr-FR"/>
            </w:rPr>
            <w:t xml:space="preserve"> </w:t>
          </w:r>
          <w:r w:rsidR="00B66158" w:rsidRPr="00D47D3C">
            <w:rPr>
              <w:lang w:eastAsia="fr-FR"/>
            </w:rPr>
            <w:t>Sans objet.</w:t>
          </w:r>
        </w:p>
      </w:sdtContent>
    </w:sdt>
    <w:sdt>
      <w:sdtPr>
        <w:rPr>
          <w:lang w:eastAsia="fr-FR"/>
        </w:rPr>
        <w:id w:val="741151286"/>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580454517"/>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Pr>
              <w:lang w:eastAsia="fr-FR"/>
            </w:rPr>
            <w:t xml:space="preserve"> Bordereau des prix unitaires</w:t>
          </w:r>
          <w:r w:rsidR="00B66158" w:rsidRPr="00D47D3C">
            <w:rPr>
              <w:lang w:eastAsia="fr-FR"/>
            </w:rPr>
            <w:t>.</w:t>
          </w:r>
        </w:p>
      </w:sdtContent>
    </w:sdt>
    <w:sdt>
      <w:sdtPr>
        <w:rPr>
          <w:lang w:eastAsia="fr-FR"/>
        </w:rPr>
        <w:id w:val="-1951775168"/>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162239198"/>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Pr>
              <w:lang w:eastAsia="fr-FR"/>
            </w:rPr>
            <w:t xml:space="preserve"> Détail estimatif</w:t>
          </w:r>
          <w:r w:rsidR="00B66158" w:rsidRPr="00D47D3C">
            <w:rPr>
              <w:lang w:eastAsia="fr-FR"/>
            </w:rPr>
            <w:t>.</w:t>
          </w:r>
        </w:p>
      </w:sdtContent>
    </w:sdt>
    <w:sdt>
      <w:sdtPr>
        <w:rPr>
          <w:lang w:eastAsia="fr-FR"/>
        </w:rPr>
        <w:id w:val="920219430"/>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127321893"/>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Pr>
              <w:lang w:eastAsia="fr-FR"/>
            </w:rPr>
            <w:t xml:space="preserve"> Décomposition du prix global et forfaitaire</w:t>
          </w:r>
          <w:r w:rsidR="00B66158" w:rsidRPr="00D47D3C">
            <w:rPr>
              <w:lang w:eastAsia="fr-FR"/>
            </w:rPr>
            <w:t>.</w:t>
          </w:r>
        </w:p>
      </w:sdtContent>
    </w:sdt>
    <w:sdt>
      <w:sdtPr>
        <w:rPr>
          <w:lang w:eastAsia="fr-FR"/>
        </w:rPr>
        <w:id w:val="750323279"/>
      </w:sdtPr>
      <w:sdtEndPr/>
      <w:sdtContent>
        <w:p w:rsidR="00B66158" w:rsidRPr="00D47D3C" w:rsidRDefault="00F2448C" w:rsidP="00B66158">
          <w:pPr>
            <w:overflowPunct/>
            <w:autoSpaceDE/>
            <w:autoSpaceDN/>
            <w:adjustRightInd/>
            <w:spacing w:before="0" w:after="0" w:line="288" w:lineRule="auto"/>
            <w:ind w:left="0"/>
            <w:textAlignment w:val="auto"/>
            <w:rPr>
              <w:lang w:eastAsia="fr-FR"/>
            </w:rPr>
          </w:pPr>
          <w:sdt>
            <w:sdtPr>
              <w:rPr>
                <w:lang w:eastAsia="fr-FR"/>
              </w:rPr>
              <w:id w:val="-307245726"/>
              <w14:checkbox>
                <w14:checked w14:val="0"/>
                <w14:checkedState w14:val="2612" w14:font="MS Gothic"/>
                <w14:uncheckedState w14:val="2610" w14:font="MS Gothic"/>
              </w14:checkbox>
            </w:sdtPr>
            <w:sdtEndPr/>
            <w:sdtContent>
              <w:r w:rsidR="00B66158" w:rsidRPr="004E167F">
                <w:rPr>
                  <w:rFonts w:eastAsia="MS Gothic" w:hint="eastAsia"/>
                  <w:lang w:eastAsia="fr-FR"/>
                </w:rPr>
                <w:t>☐</w:t>
              </w:r>
            </w:sdtContent>
          </w:sdt>
          <w:r w:rsidR="00B66158">
            <w:rPr>
              <w:lang w:eastAsia="fr-FR"/>
            </w:rPr>
            <w:t xml:space="preserve"> Mémoire technique complémentaire</w:t>
          </w:r>
          <w:r w:rsidR="00B66158" w:rsidRPr="00D47D3C">
            <w:rPr>
              <w:lang w:eastAsia="fr-FR"/>
            </w:rPr>
            <w:t>.</w:t>
          </w:r>
        </w:p>
      </w:sdtContent>
    </w:sdt>
    <w:p w:rsidR="00B66158" w:rsidRDefault="00B66158" w:rsidP="00B66158">
      <w:pPr>
        <w:overflowPunct/>
        <w:autoSpaceDE/>
        <w:autoSpaceDN/>
        <w:adjustRightInd/>
        <w:spacing w:before="0" w:after="0" w:line="288" w:lineRule="auto"/>
        <w:ind w:left="0"/>
        <w:textAlignment w:val="auto"/>
        <w:rPr>
          <w:b/>
          <w:u w:val="single"/>
          <w:lang w:eastAsia="fr-FR"/>
        </w:rPr>
      </w:pPr>
    </w:p>
    <w:p w:rsidR="00B66158" w:rsidRPr="004E167F" w:rsidRDefault="00B66158" w:rsidP="00B66158">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SIGNATURE DE L’OFFRE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J'affirme (nous affirmons) sous peine de résiliation du marché que je ne tombe pas (nous ne tombons pas) sous le coup des exclusions et interdictions découlant de l'article 14-3 de la délibération n° 424 du 20 mars 2019 modifiée.</w:t>
      </w:r>
    </w:p>
    <w:p w:rsidR="003C457F" w:rsidRPr="004E167F" w:rsidRDefault="003C457F" w:rsidP="004E167F">
      <w:pPr>
        <w:overflowPunct/>
        <w:autoSpaceDE/>
        <w:autoSpaceDN/>
        <w:adjustRightInd/>
        <w:spacing w:before="0" w:after="0" w:line="288" w:lineRule="auto"/>
        <w:ind w:left="0"/>
        <w:textAlignment w:val="auto"/>
        <w:rPr>
          <w:lang w:eastAsia="fr-FR"/>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4E167F" w:rsidRPr="004E167F" w:rsidTr="001D2CE2">
        <w:tc>
          <w:tcPr>
            <w:tcW w:w="4424"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LE SOUMISSIONNAIRE (1)</w:t>
            </w:r>
          </w:p>
        </w:tc>
        <w:tc>
          <w:tcPr>
            <w:tcW w:w="818"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Fait à</w:t>
            </w:r>
          </w:p>
        </w:tc>
        <w:tc>
          <w:tcPr>
            <w:tcW w:w="2014"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c>
          <w:tcPr>
            <w:tcW w:w="565"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 le</w:t>
            </w:r>
          </w:p>
        </w:tc>
        <w:tc>
          <w:tcPr>
            <w:tcW w:w="1251"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r>
    </w:tbl>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4E167F" w:rsidRPr="004E167F" w:rsidTr="001D2CE2">
        <w:tc>
          <w:tcPr>
            <w:tcW w:w="9426" w:type="dxa"/>
            <w:tcBorders>
              <w:top w:val="single" w:sz="6" w:space="0" w:color="auto"/>
            </w:tcBorders>
          </w:tcPr>
          <w:p w:rsidR="004E167F" w:rsidRPr="004E167F" w:rsidRDefault="004E167F" w:rsidP="004E167F">
            <w:pPr>
              <w:keepNext/>
              <w:keepLines/>
              <w:overflowPunct/>
              <w:autoSpaceDE/>
              <w:autoSpaceDN/>
              <w:adjustRightInd/>
              <w:spacing w:before="0" w:after="0"/>
              <w:ind w:left="284" w:hanging="284"/>
              <w:textAlignment w:val="auto"/>
              <w:rPr>
                <w:sz w:val="16"/>
                <w:szCs w:val="24"/>
                <w:lang w:eastAsia="fr-FR"/>
              </w:rPr>
            </w:pPr>
            <w:r w:rsidRPr="004E167F">
              <w:rPr>
                <w:sz w:val="16"/>
                <w:szCs w:val="24"/>
                <w:lang w:eastAsia="fr-FR"/>
              </w:rPr>
              <w:t xml:space="preserve">(1) Le nom de la personne habilitée à représenter l’entreprise ayant apposé sa signature est </w:t>
            </w:r>
            <w:proofErr w:type="gramStart"/>
            <w:r w:rsidRPr="004E167F">
              <w:rPr>
                <w:sz w:val="16"/>
                <w:szCs w:val="24"/>
                <w:lang w:eastAsia="fr-FR"/>
              </w:rPr>
              <w:t>reproduit</w:t>
            </w:r>
            <w:proofErr w:type="gramEnd"/>
            <w:r w:rsidRPr="004E167F">
              <w:rPr>
                <w:sz w:val="16"/>
                <w:szCs w:val="24"/>
                <w:lang w:eastAsia="fr-FR"/>
              </w:rPr>
              <w:t xml:space="preserve"> en lettres capitales précédé de la mention manuscrite « LU ET ACCEPTE »</w:t>
            </w:r>
          </w:p>
        </w:tc>
      </w:tr>
    </w:tbl>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ACCEPTATION DE L’OFFRE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Approuvé par le représentant de l’acheteur public,</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Nouméa, le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sdt>
      <w:sdtPr>
        <w:id w:val="238454984"/>
      </w:sdtPr>
      <w:sdtEndPr>
        <w:rPr>
          <w:lang w:eastAsia="fr-FR"/>
        </w:rPr>
      </w:sdtEndPr>
      <w:sdtContent>
        <w:p w:rsidR="00A975DF" w:rsidRPr="00A975DF" w:rsidRDefault="00F2448C" w:rsidP="00A975DF">
          <w:pPr>
            <w:overflowPunct/>
            <w:autoSpaceDE/>
            <w:autoSpaceDN/>
            <w:adjustRightInd/>
            <w:spacing w:before="0" w:after="0"/>
            <w:ind w:left="0"/>
            <w:textAlignment w:val="auto"/>
            <w:rPr>
              <w:lang w:eastAsia="fr-FR"/>
            </w:rPr>
          </w:pPr>
          <w:sdt>
            <w:sdtPr>
              <w:id w:val="-1513286118"/>
              <w14:checkbox>
                <w14:checked w14:val="0"/>
                <w14:checkedState w14:val="2612" w14:font="MS Gothic"/>
                <w14:uncheckedState w14:val="2610" w14:font="MS Gothic"/>
              </w14:checkbox>
            </w:sdtPr>
            <w:sdtEndPr/>
            <w:sdtContent>
              <w:r w:rsidR="00A975DF" w:rsidRPr="00A975DF">
                <w:rPr>
                  <w:rFonts w:eastAsia="MS Gothic" w:hint="eastAsia"/>
                </w:rPr>
                <w:t>☐</w:t>
              </w:r>
            </w:sdtContent>
          </w:sdt>
          <w:r w:rsidR="00A975DF" w:rsidRPr="00A975DF">
            <w:rPr>
              <w:lang w:eastAsia="fr-FR"/>
            </w:rPr>
            <w:t xml:space="preserve"> Marché alloti :</w:t>
          </w:r>
        </w:p>
        <w:p w:rsidR="00A975DF" w:rsidRPr="00A975DF" w:rsidRDefault="00A975DF" w:rsidP="00A975DF">
          <w:pPr>
            <w:overflowPunct/>
            <w:autoSpaceDE/>
            <w:autoSpaceDN/>
            <w:adjustRightInd/>
            <w:spacing w:before="0" w:after="0"/>
            <w:ind w:left="0"/>
            <w:textAlignment w:val="auto"/>
            <w:rPr>
              <w:lang w:eastAsia="fr-FR"/>
            </w:rPr>
          </w:pPr>
          <w:r w:rsidRPr="00A975DF">
            <w:rPr>
              <w:lang w:eastAsia="fr-FR"/>
            </w:rPr>
            <w:t xml:space="preserve">Attribution du lot </w:t>
          </w:r>
          <w:r w:rsidRPr="00A975DF">
            <w:rPr>
              <w:color w:val="0070C0"/>
              <w:lang w:eastAsia="fr-FR"/>
            </w:rPr>
            <w:t>1</w:t>
          </w:r>
          <w:r w:rsidRPr="00A975DF">
            <w:rPr>
              <w:lang w:eastAsia="fr-FR"/>
            </w:rPr>
            <w:t xml:space="preserve"> :</w:t>
          </w:r>
          <w:r w:rsidRPr="00A975DF">
            <w:rPr>
              <w:lang w:eastAsia="fr-FR"/>
            </w:rPr>
            <w:tab/>
          </w:r>
          <w:r w:rsidRPr="00A975DF">
            <w:rPr>
              <w:lang w:eastAsia="fr-FR"/>
            </w:rPr>
            <w:tab/>
            <w:t xml:space="preserve">OUI </w:t>
          </w:r>
          <w:r w:rsidRPr="00A975DF">
            <w:rPr>
              <w:rFonts w:ascii="MS Gothic" w:eastAsia="MS Gothic" w:hAnsi="MS Gothic" w:cs="MS Gothic" w:hint="eastAsia"/>
              <w:lang w:eastAsia="fr-FR"/>
            </w:rPr>
            <w:t>☐</w:t>
          </w:r>
          <w:r w:rsidRPr="00A975DF">
            <w:rPr>
              <w:lang w:eastAsia="fr-FR"/>
            </w:rPr>
            <w:tab/>
          </w:r>
          <w:r w:rsidRPr="00A975DF">
            <w:rPr>
              <w:lang w:eastAsia="fr-FR"/>
            </w:rPr>
            <w:tab/>
            <w:t xml:space="preserve">NON </w:t>
          </w:r>
          <w:r w:rsidRPr="00A975DF">
            <w:rPr>
              <w:rFonts w:ascii="MS Gothic" w:eastAsia="MS Gothic" w:hAnsi="MS Gothic" w:cs="MS Gothic" w:hint="eastAsia"/>
              <w:lang w:eastAsia="fr-FR"/>
            </w:rPr>
            <w:t>☐</w:t>
          </w:r>
          <w:r w:rsidRPr="00A975DF">
            <w:rPr>
              <w:lang w:eastAsia="fr-FR"/>
            </w:rPr>
            <w:t xml:space="preserve"> </w:t>
          </w:r>
        </w:p>
        <w:p w:rsidR="00A975DF" w:rsidRPr="00A975DF" w:rsidRDefault="00A975DF" w:rsidP="00A975DF">
          <w:pPr>
            <w:overflowPunct/>
            <w:autoSpaceDE/>
            <w:autoSpaceDN/>
            <w:adjustRightInd/>
            <w:spacing w:before="0" w:after="0"/>
            <w:ind w:left="0"/>
            <w:textAlignment w:val="auto"/>
            <w:rPr>
              <w:lang w:eastAsia="fr-FR"/>
            </w:rPr>
          </w:pPr>
          <w:r w:rsidRPr="00A975DF">
            <w:rPr>
              <w:lang w:eastAsia="fr-FR"/>
            </w:rPr>
            <w:t xml:space="preserve">Attribution du lot </w:t>
          </w:r>
          <w:r w:rsidRPr="00A975DF">
            <w:rPr>
              <w:color w:val="0070C0"/>
              <w:lang w:eastAsia="fr-FR"/>
            </w:rPr>
            <w:t>2</w:t>
          </w:r>
          <w:r w:rsidRPr="00A975DF">
            <w:rPr>
              <w:lang w:eastAsia="fr-FR"/>
            </w:rPr>
            <w:t xml:space="preserve"> :</w:t>
          </w:r>
          <w:r w:rsidRPr="00A975DF">
            <w:rPr>
              <w:lang w:eastAsia="fr-FR"/>
            </w:rPr>
            <w:tab/>
          </w:r>
          <w:r w:rsidRPr="00A975DF">
            <w:rPr>
              <w:lang w:eastAsia="fr-FR"/>
            </w:rPr>
            <w:tab/>
            <w:t xml:space="preserve">OUI </w:t>
          </w:r>
          <w:r w:rsidRPr="00A975DF">
            <w:rPr>
              <w:rFonts w:ascii="MS Gothic" w:eastAsia="MS Gothic" w:hAnsi="MS Gothic" w:cs="MS Gothic" w:hint="eastAsia"/>
              <w:lang w:eastAsia="fr-FR"/>
            </w:rPr>
            <w:t>☐</w:t>
          </w:r>
          <w:r w:rsidRPr="00A975DF">
            <w:rPr>
              <w:lang w:eastAsia="fr-FR"/>
            </w:rPr>
            <w:tab/>
          </w:r>
          <w:r w:rsidRPr="00A975DF">
            <w:rPr>
              <w:lang w:eastAsia="fr-FR"/>
            </w:rPr>
            <w:tab/>
            <w:t xml:space="preserve">NON </w:t>
          </w:r>
          <w:r w:rsidRPr="00A975DF">
            <w:rPr>
              <w:rFonts w:ascii="MS Gothic" w:eastAsia="MS Gothic" w:hAnsi="MS Gothic" w:cs="MS Gothic" w:hint="eastAsia"/>
              <w:lang w:eastAsia="fr-FR"/>
            </w:rPr>
            <w:t>☐</w:t>
          </w:r>
          <w:r w:rsidRPr="00A975DF">
            <w:rPr>
              <w:lang w:eastAsia="fr-FR"/>
            </w:rPr>
            <w:t xml:space="preserve"> </w:t>
          </w:r>
        </w:p>
        <w:p w:rsidR="00A975DF" w:rsidRPr="00A975DF" w:rsidRDefault="00A975DF" w:rsidP="00A975DF">
          <w:pPr>
            <w:overflowPunct/>
            <w:autoSpaceDE/>
            <w:autoSpaceDN/>
            <w:adjustRightInd/>
            <w:spacing w:before="0" w:after="0"/>
            <w:ind w:left="0"/>
            <w:textAlignment w:val="auto"/>
            <w:rPr>
              <w:lang w:eastAsia="fr-FR"/>
            </w:rPr>
          </w:pPr>
          <w:r w:rsidRPr="00A975DF">
            <w:rPr>
              <w:lang w:eastAsia="fr-FR"/>
            </w:rPr>
            <w:t xml:space="preserve">Attribution du lot </w:t>
          </w:r>
          <w:r w:rsidRPr="00A975DF">
            <w:rPr>
              <w:color w:val="0070C0"/>
              <w:lang w:eastAsia="fr-FR"/>
            </w:rPr>
            <w:t>3</w:t>
          </w:r>
          <w:r w:rsidRPr="00A975DF">
            <w:rPr>
              <w:lang w:eastAsia="fr-FR"/>
            </w:rPr>
            <w:t xml:space="preserve"> :</w:t>
          </w:r>
          <w:r w:rsidRPr="00A975DF">
            <w:rPr>
              <w:lang w:eastAsia="fr-FR"/>
            </w:rPr>
            <w:tab/>
          </w:r>
          <w:r w:rsidRPr="00A975DF">
            <w:rPr>
              <w:lang w:eastAsia="fr-FR"/>
            </w:rPr>
            <w:tab/>
            <w:t xml:space="preserve">OUI </w:t>
          </w:r>
          <w:r w:rsidRPr="00A975DF">
            <w:rPr>
              <w:rFonts w:ascii="MS Gothic" w:eastAsia="MS Gothic" w:hAnsi="MS Gothic" w:cs="MS Gothic" w:hint="eastAsia"/>
              <w:lang w:eastAsia="fr-FR"/>
            </w:rPr>
            <w:t>☐</w:t>
          </w:r>
          <w:r w:rsidRPr="00A975DF">
            <w:rPr>
              <w:lang w:eastAsia="fr-FR"/>
            </w:rPr>
            <w:tab/>
          </w:r>
          <w:r w:rsidRPr="00A975DF">
            <w:rPr>
              <w:lang w:eastAsia="fr-FR"/>
            </w:rPr>
            <w:tab/>
            <w:t xml:space="preserve">NON </w:t>
          </w:r>
          <w:r w:rsidRPr="00A975DF">
            <w:rPr>
              <w:rFonts w:ascii="MS Gothic" w:eastAsia="MS Gothic" w:hAnsi="MS Gothic" w:cs="MS Gothic" w:hint="eastAsia"/>
              <w:lang w:eastAsia="fr-FR"/>
            </w:rPr>
            <w:t>☐</w:t>
          </w:r>
          <w:r w:rsidRPr="00A975DF">
            <w:rPr>
              <w:lang w:eastAsia="fr-FR"/>
            </w:rPr>
            <w:t xml:space="preserve"> </w:t>
          </w:r>
        </w:p>
        <w:p w:rsidR="00B66158" w:rsidRPr="00BD1887" w:rsidRDefault="00F2448C" w:rsidP="00B66158">
          <w:pPr>
            <w:overflowPunct/>
            <w:autoSpaceDE/>
            <w:autoSpaceDN/>
            <w:adjustRightInd/>
            <w:spacing w:before="0" w:after="0"/>
            <w:ind w:left="0"/>
            <w:textAlignment w:val="auto"/>
            <w:rPr>
              <w:lang w:eastAsia="fr-FR"/>
            </w:rPr>
          </w:pPr>
        </w:p>
      </w:sdtContent>
    </w:sdt>
    <w:p w:rsid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NOTIFICATION DU MARCHÉ SUBSEQUENT</w:t>
      </w: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Date prescrite pour le démarrage du délai </w:t>
      </w:r>
      <w:r w:rsidR="00DF0968">
        <w:rPr>
          <w:lang w:eastAsia="fr-FR"/>
        </w:rPr>
        <w:t>des prestations</w:t>
      </w:r>
      <w:r w:rsidR="00E130ED">
        <w:rPr>
          <w:lang w:eastAsia="fr-FR"/>
        </w:rPr>
        <w:t xml:space="preserve"> </w:t>
      </w:r>
      <w:proofErr w:type="gramStart"/>
      <w:r w:rsidRPr="004E167F">
        <w:rPr>
          <w:lang w:eastAsia="fr-FR"/>
        </w:rPr>
        <w:t>:  _</w:t>
      </w:r>
      <w:proofErr w:type="gramEnd"/>
      <w:r w:rsidRPr="004E167F">
        <w:rPr>
          <w:lang w:eastAsia="fr-FR"/>
        </w:rPr>
        <w:t>______________</w:t>
      </w: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Reçu notification du marché subséquent le (1) :</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Le représentant habilité du titulaire,</w:t>
      </w:r>
    </w:p>
    <w:p w:rsidR="004E167F" w:rsidRPr="004E167F" w:rsidRDefault="004E167F" w:rsidP="004E167F">
      <w:pPr>
        <w:keepNext/>
        <w:keepLines/>
        <w:pBdr>
          <w:top w:val="single" w:sz="4" w:space="1" w:color="auto"/>
        </w:pBdr>
        <w:overflowPunct/>
        <w:autoSpaceDE/>
        <w:autoSpaceDN/>
        <w:adjustRightInd/>
        <w:spacing w:before="0" w:after="0"/>
        <w:ind w:left="284" w:hanging="284"/>
        <w:textAlignment w:val="auto"/>
        <w:rPr>
          <w:sz w:val="16"/>
          <w:szCs w:val="16"/>
          <w:lang w:eastAsia="fr-FR"/>
        </w:rPr>
      </w:pPr>
      <w:r w:rsidRPr="004E167F">
        <w:rPr>
          <w:sz w:val="21"/>
          <w:szCs w:val="21"/>
          <w:lang w:eastAsia="fr-FR"/>
        </w:rPr>
        <w:t xml:space="preserve"> </w:t>
      </w:r>
      <w:r w:rsidRPr="004E167F">
        <w:rPr>
          <w:sz w:val="16"/>
          <w:szCs w:val="16"/>
          <w:lang w:eastAsia="fr-FR"/>
        </w:rPr>
        <w:t xml:space="preserve">(1) Le nom de la personne habilitée ayant apposé sa signature est </w:t>
      </w:r>
      <w:proofErr w:type="gramStart"/>
      <w:r w:rsidRPr="004E167F">
        <w:rPr>
          <w:sz w:val="16"/>
          <w:szCs w:val="16"/>
          <w:lang w:eastAsia="fr-FR"/>
        </w:rPr>
        <w:t>reproduit</w:t>
      </w:r>
      <w:proofErr w:type="gramEnd"/>
      <w:r w:rsidRPr="004E167F">
        <w:rPr>
          <w:sz w:val="16"/>
          <w:szCs w:val="16"/>
          <w:lang w:eastAsia="fr-FR"/>
        </w:rPr>
        <w:t xml:space="preserve"> en lettres capitales</w:t>
      </w:r>
    </w:p>
    <w:p w:rsidR="004E167F" w:rsidRPr="004E167F" w:rsidRDefault="004E167F" w:rsidP="004E167F">
      <w:pPr>
        <w:overflowPunct/>
        <w:autoSpaceDE/>
        <w:autoSpaceDN/>
        <w:adjustRightInd/>
        <w:spacing w:before="0" w:after="0"/>
        <w:ind w:left="0"/>
        <w:textAlignment w:val="auto"/>
        <w:rPr>
          <w:sz w:val="21"/>
          <w:szCs w:val="21"/>
          <w:lang w:eastAsia="fr-FR"/>
        </w:rPr>
      </w:pPr>
    </w:p>
    <w:p w:rsidR="004E167F" w:rsidRDefault="004E167F" w:rsidP="004E167F">
      <w:pPr>
        <w:pStyle w:val="NORM"/>
      </w:pPr>
    </w:p>
    <w:p w:rsidR="004E167F" w:rsidRDefault="004E167F" w:rsidP="004E167F">
      <w:pPr>
        <w:pStyle w:val="NORM"/>
      </w:pPr>
    </w:p>
    <w:p w:rsidR="000816BA" w:rsidRDefault="000816BA" w:rsidP="004E167F">
      <w:r>
        <w:br w:type="page"/>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0816BA" w:rsidRPr="000816BA" w:rsidTr="000816B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0816BA" w:rsidRPr="000816BA" w:rsidRDefault="000816BA" w:rsidP="000816BA">
            <w:pPr>
              <w:spacing w:before="0" w:after="0" w:line="276" w:lineRule="auto"/>
              <w:ind w:left="0"/>
              <w:jc w:val="center"/>
              <w:textAlignment w:val="auto"/>
              <w:rPr>
                <w:rFonts w:ascii="Arial" w:hAnsi="Arial" w:cs="Arial"/>
                <w:b/>
                <w:szCs w:val="20"/>
              </w:rPr>
            </w:pPr>
            <w:r w:rsidRPr="000816BA">
              <w:rPr>
                <w:b/>
                <w:szCs w:val="32"/>
              </w:rPr>
              <w:lastRenderedPageBreak/>
              <w:t>ANNEXE A L'ACTE D'ENGAGEMENT EN CAS DE SOUS-TRAITANCE</w:t>
            </w:r>
          </w:p>
        </w:tc>
      </w:tr>
    </w:tbl>
    <w:p w:rsidR="000816BA" w:rsidRPr="000816BA" w:rsidRDefault="000816BA" w:rsidP="000816BA">
      <w:pPr>
        <w:spacing w:before="0" w:after="0"/>
        <w:ind w:left="0"/>
        <w:jc w:val="left"/>
        <w:textAlignment w:val="auto"/>
        <w:rPr>
          <w:rFonts w:ascii="Arial" w:hAnsi="Arial" w:cs="Arial"/>
          <w:sz w:val="8"/>
          <w:szCs w:val="20"/>
          <w:lang w:eastAsia="fr-FR"/>
        </w:rPr>
      </w:pPr>
    </w:p>
    <w:p w:rsidR="000816BA" w:rsidRPr="000816BA" w:rsidRDefault="000816BA" w:rsidP="000816BA">
      <w:pPr>
        <w:spacing w:before="0" w:after="0"/>
        <w:ind w:left="0"/>
        <w:jc w:val="center"/>
        <w:textAlignment w:val="auto"/>
        <w:rPr>
          <w:b/>
          <w:sz w:val="24"/>
          <w:szCs w:val="24"/>
          <w:lang w:eastAsia="fr-FR"/>
        </w:rPr>
      </w:pPr>
      <w:r w:rsidRPr="000816BA">
        <w:rPr>
          <w:b/>
          <w:sz w:val="24"/>
          <w:szCs w:val="24"/>
          <w:lang w:eastAsia="fr-FR"/>
        </w:rPr>
        <w:t>Demande d'acceptation d'un sous-traitant et</w:t>
      </w:r>
    </w:p>
    <w:p w:rsidR="000816BA" w:rsidRPr="000816BA" w:rsidRDefault="000816BA" w:rsidP="000816BA">
      <w:pPr>
        <w:spacing w:before="0" w:after="0"/>
        <w:ind w:left="0"/>
        <w:jc w:val="center"/>
        <w:textAlignment w:val="auto"/>
        <w:rPr>
          <w:b/>
          <w:sz w:val="24"/>
          <w:szCs w:val="24"/>
          <w:lang w:eastAsia="fr-FR"/>
        </w:rPr>
      </w:pPr>
      <w:proofErr w:type="gramStart"/>
      <w:r w:rsidRPr="000816BA">
        <w:rPr>
          <w:b/>
          <w:sz w:val="24"/>
          <w:szCs w:val="24"/>
          <w:lang w:eastAsia="fr-FR"/>
        </w:rPr>
        <w:t>d'agrément</w:t>
      </w:r>
      <w:proofErr w:type="gramEnd"/>
      <w:r w:rsidRPr="000816BA">
        <w:rPr>
          <w:b/>
          <w:sz w:val="24"/>
          <w:szCs w:val="24"/>
          <w:lang w:eastAsia="fr-FR"/>
        </w:rPr>
        <w:t xml:space="preserve"> des conditions de paiement du contrat de sous-traitance</w:t>
      </w:r>
    </w:p>
    <w:p w:rsidR="000816BA" w:rsidRPr="000816BA" w:rsidRDefault="000816BA" w:rsidP="000816BA">
      <w:pPr>
        <w:spacing w:before="0" w:after="0"/>
        <w:ind w:left="0"/>
        <w:jc w:val="left"/>
        <w:textAlignment w:val="auto"/>
        <w:rPr>
          <w:sz w:val="24"/>
          <w:szCs w:val="24"/>
          <w:lang w:eastAsia="fr-FR"/>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0816BA" w:rsidRPr="000816BA" w:rsidTr="000816BA">
        <w:trPr>
          <w:jc w:val="center"/>
        </w:trPr>
        <w:tc>
          <w:tcPr>
            <w:tcW w:w="2612" w:type="dxa"/>
            <w:hideMark/>
          </w:tcPr>
          <w:p w:rsidR="000816BA" w:rsidRPr="000816BA" w:rsidRDefault="000816BA" w:rsidP="000816BA">
            <w:pPr>
              <w:spacing w:before="60" w:after="60"/>
              <w:ind w:left="0"/>
              <w:jc w:val="left"/>
              <w:textAlignment w:val="auto"/>
              <w:rPr>
                <w:b/>
                <w:sz w:val="24"/>
                <w:szCs w:val="24"/>
              </w:rPr>
            </w:pPr>
            <w:r w:rsidRPr="000816BA">
              <w:rPr>
                <w:b/>
                <w:spacing w:val="40"/>
                <w:sz w:val="24"/>
                <w:szCs w:val="24"/>
              </w:rPr>
              <w:t>ANNEXE N °</w:t>
            </w:r>
            <w:r w:rsidRPr="000816BA">
              <w:rPr>
                <w:b/>
                <w:sz w:val="24"/>
                <w:szCs w:val="24"/>
              </w:rPr>
              <w:t xml:space="preserve"> </w:t>
            </w:r>
          </w:p>
        </w:tc>
        <w:tc>
          <w:tcPr>
            <w:tcW w:w="1224" w:type="dxa"/>
            <w:shd w:val="pct5" w:color="auto" w:fill="auto"/>
          </w:tcPr>
          <w:p w:rsidR="000816BA" w:rsidRPr="000816BA" w:rsidRDefault="000816BA" w:rsidP="000816BA">
            <w:pPr>
              <w:spacing w:before="60" w:after="60"/>
              <w:ind w:left="0"/>
              <w:jc w:val="left"/>
              <w:textAlignment w:val="auto"/>
              <w:rPr>
                <w:b/>
                <w:sz w:val="24"/>
                <w:szCs w:val="24"/>
              </w:rPr>
            </w:pPr>
          </w:p>
        </w:tc>
      </w:tr>
    </w:tbl>
    <w:p w:rsidR="000816BA" w:rsidRPr="000816BA" w:rsidRDefault="000816BA" w:rsidP="000816BA">
      <w:pPr>
        <w:spacing w:before="0" w:after="60"/>
        <w:ind w:left="0"/>
        <w:jc w:val="left"/>
        <w:textAlignment w:val="auto"/>
        <w:rPr>
          <w:lang w:eastAsia="fr-FR"/>
        </w:rPr>
      </w:pPr>
      <w:r w:rsidRPr="000816BA">
        <w:rPr>
          <w:b/>
          <w:lang w:eastAsia="fr-FR"/>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Acheteur public :</w:t>
            </w:r>
          </w:p>
        </w:tc>
        <w:tc>
          <w:tcPr>
            <w:tcW w:w="6520" w:type="dxa"/>
            <w:shd w:val="pct5" w:color="auto" w:fill="auto"/>
          </w:tcPr>
          <w:p w:rsidR="000816BA" w:rsidRPr="000816BA" w:rsidRDefault="000816BA" w:rsidP="000816BA">
            <w:pPr>
              <w:spacing w:before="40" w:after="40"/>
              <w:ind w:left="0"/>
              <w:textAlignment w:val="auto"/>
              <w:rPr>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Objet du marché :</w:t>
            </w:r>
          </w:p>
        </w:tc>
        <w:tc>
          <w:tcPr>
            <w:tcW w:w="6520" w:type="dxa"/>
            <w:shd w:val="pct5" w:color="auto" w:fill="auto"/>
          </w:tcPr>
          <w:p w:rsidR="000816BA" w:rsidRPr="000816BA" w:rsidRDefault="000816BA" w:rsidP="000816BA">
            <w:pPr>
              <w:spacing w:before="40" w:after="40"/>
              <w:ind w:left="0"/>
              <w:textAlignment w:val="auto"/>
              <w:rPr>
                <w:b/>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Titulaire :</w:t>
            </w:r>
          </w:p>
        </w:tc>
        <w:tc>
          <w:tcPr>
            <w:tcW w:w="6520" w:type="dxa"/>
            <w:shd w:val="pct5" w:color="auto" w:fill="auto"/>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0816BA" w:rsidRPr="000816BA" w:rsidRDefault="000816BA" w:rsidP="000816BA">
      <w:pPr>
        <w:spacing w:before="0" w:after="60"/>
        <w:ind w:left="0"/>
        <w:jc w:val="left"/>
        <w:textAlignment w:val="auto"/>
        <w:rPr>
          <w:b/>
          <w:lang w:eastAsia="fr-FR"/>
        </w:rPr>
      </w:pPr>
      <w:r w:rsidRPr="000816BA">
        <w:rPr>
          <w:b/>
          <w:lang w:eastAsia="fr-FR"/>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0816BA" w:rsidRPr="000816BA" w:rsidTr="000816BA">
        <w:tc>
          <w:tcPr>
            <w:tcW w:w="3897" w:type="dxa"/>
            <w:gridSpan w:val="2"/>
            <w:hideMark/>
          </w:tcPr>
          <w:p w:rsidR="000816BA" w:rsidRPr="000816BA" w:rsidRDefault="000816BA" w:rsidP="000816BA">
            <w:pPr>
              <w:spacing w:before="40" w:after="40"/>
              <w:ind w:left="0"/>
              <w:jc w:val="left"/>
              <w:textAlignment w:val="auto"/>
              <w:rPr>
                <w:b/>
              </w:rPr>
            </w:pPr>
            <w:r w:rsidRPr="000816BA">
              <w:t>Nom, raison ou dénomination sociale :</w:t>
            </w:r>
          </w:p>
        </w:tc>
        <w:tc>
          <w:tcPr>
            <w:tcW w:w="5388" w:type="dxa"/>
            <w:gridSpan w:val="4"/>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5616" w:type="dxa"/>
            <w:gridSpan w:val="4"/>
            <w:hideMark/>
          </w:tcPr>
          <w:p w:rsidR="000816BA" w:rsidRPr="000816BA" w:rsidRDefault="000816BA" w:rsidP="000816BA">
            <w:pPr>
              <w:spacing w:before="40" w:after="40"/>
              <w:ind w:left="0"/>
              <w:jc w:val="left"/>
              <w:textAlignment w:val="auto"/>
              <w:rPr>
                <w:b/>
              </w:rPr>
            </w:pPr>
            <w:r w:rsidRPr="000816BA">
              <w:t>Entreprise individuelle ou forme juridique de la société :</w:t>
            </w:r>
          </w:p>
        </w:tc>
        <w:tc>
          <w:tcPr>
            <w:tcW w:w="3669" w:type="dxa"/>
            <w:gridSpan w:val="2"/>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4619" w:type="dxa"/>
            <w:gridSpan w:val="3"/>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d'identité d'établissement (RIDET) :</w:t>
            </w:r>
          </w:p>
        </w:tc>
        <w:tc>
          <w:tcPr>
            <w:tcW w:w="4666" w:type="dxa"/>
            <w:gridSpan w:val="3"/>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7157" w:type="dxa"/>
            <w:gridSpan w:val="5"/>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d'inscription au registre du commerce ou au répertoire des  métiers :</w:t>
            </w:r>
          </w:p>
        </w:tc>
        <w:tc>
          <w:tcPr>
            <w:tcW w:w="2128" w:type="dxa"/>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1202" w:type="dxa"/>
            <w:tcMar>
              <w:top w:w="0" w:type="dxa"/>
              <w:left w:w="70" w:type="dxa"/>
              <w:bottom w:w="0" w:type="dxa"/>
              <w:right w:w="70" w:type="dxa"/>
            </w:tcMar>
            <w:hideMark/>
          </w:tcPr>
          <w:p w:rsidR="000816BA" w:rsidRPr="000816BA" w:rsidRDefault="000816BA" w:rsidP="000816BA">
            <w:pPr>
              <w:spacing w:before="40" w:after="40"/>
              <w:ind w:left="0"/>
              <w:jc w:val="left"/>
              <w:textAlignment w:val="auto"/>
            </w:pPr>
            <w:r w:rsidRPr="000816BA">
              <w:t>Adresse :</w:t>
            </w:r>
          </w:p>
        </w:tc>
        <w:tc>
          <w:tcPr>
            <w:tcW w:w="8083" w:type="dxa"/>
            <w:gridSpan w:val="5"/>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0816BA" w:rsidRPr="000816BA" w:rsidRDefault="000816BA" w:rsidP="000816BA">
      <w:pPr>
        <w:spacing w:before="0" w:after="60"/>
        <w:ind w:left="0"/>
        <w:jc w:val="left"/>
        <w:textAlignment w:val="auto"/>
        <w:rPr>
          <w:b/>
          <w:lang w:eastAsia="fr-FR"/>
        </w:rPr>
      </w:pPr>
      <w:r w:rsidRPr="000816BA">
        <w:rPr>
          <w:b/>
          <w:lang w:eastAsia="fr-FR"/>
        </w:rPr>
        <w:t>NATURE ET PRIX DES PRESTATIONS SOUS-TRAITEES :</w:t>
      </w:r>
    </w:p>
    <w:tbl>
      <w:tblPr>
        <w:tblW w:w="0" w:type="dxa"/>
        <w:tblLayout w:type="fixed"/>
        <w:tblCellMar>
          <w:left w:w="70" w:type="dxa"/>
          <w:right w:w="70" w:type="dxa"/>
        </w:tblCellMar>
        <w:tblLook w:val="04A0" w:firstRow="1" w:lastRow="0" w:firstColumn="1" w:lastColumn="0" w:noHBand="0" w:noVBand="1"/>
      </w:tblPr>
      <w:tblGrid>
        <w:gridCol w:w="1913"/>
        <w:gridCol w:w="709"/>
        <w:gridCol w:w="2268"/>
        <w:gridCol w:w="709"/>
        <w:gridCol w:w="3685"/>
      </w:tblGrid>
      <w:tr w:rsidR="000816BA" w:rsidRPr="000816BA" w:rsidTr="000816BA">
        <w:tc>
          <w:tcPr>
            <w:tcW w:w="1913" w:type="dxa"/>
            <w:hideMark/>
          </w:tcPr>
          <w:p w:rsidR="000816BA" w:rsidRPr="000816BA" w:rsidRDefault="000816BA" w:rsidP="000816BA">
            <w:pPr>
              <w:spacing w:before="40" w:after="40"/>
              <w:ind w:left="0"/>
              <w:jc w:val="left"/>
              <w:textAlignment w:val="auto"/>
            </w:pPr>
            <w:r w:rsidRPr="000816BA">
              <w:t xml:space="preserve"> Nature précise :</w:t>
            </w:r>
          </w:p>
        </w:tc>
        <w:tc>
          <w:tcPr>
            <w:tcW w:w="7371" w:type="dxa"/>
            <w:gridSpan w:val="4"/>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2622" w:type="dxa"/>
            <w:gridSpan w:val="2"/>
            <w:hideMark/>
          </w:tcPr>
          <w:p w:rsidR="000816BA" w:rsidRPr="000816BA" w:rsidRDefault="000816BA" w:rsidP="000816BA">
            <w:pPr>
              <w:spacing w:before="80" w:after="80"/>
              <w:ind w:left="0"/>
              <w:jc w:val="left"/>
              <w:textAlignment w:val="auto"/>
            </w:pPr>
            <w:r w:rsidRPr="000816BA">
              <w:t>Montant sous-traité HT :</w:t>
            </w:r>
          </w:p>
        </w:tc>
        <w:tc>
          <w:tcPr>
            <w:tcW w:w="2268" w:type="dxa"/>
            <w:shd w:val="pct5" w:color="auto" w:fill="auto"/>
            <w:hideMark/>
          </w:tcPr>
          <w:p w:rsidR="000816BA" w:rsidRPr="000816BA" w:rsidRDefault="000816BA" w:rsidP="000816BA">
            <w:pPr>
              <w:spacing w:before="80" w:after="80"/>
              <w:ind w:left="0"/>
              <w:jc w:val="left"/>
              <w:textAlignment w:val="auto"/>
            </w:pPr>
          </w:p>
        </w:tc>
        <w:tc>
          <w:tcPr>
            <w:tcW w:w="709" w:type="dxa"/>
          </w:tcPr>
          <w:p w:rsidR="000816BA" w:rsidRPr="000816BA" w:rsidRDefault="000816BA" w:rsidP="000816BA">
            <w:pPr>
              <w:spacing w:before="80" w:after="80"/>
              <w:ind w:left="0"/>
              <w:jc w:val="center"/>
              <w:textAlignment w:val="auto"/>
            </w:pPr>
          </w:p>
        </w:tc>
        <w:tc>
          <w:tcPr>
            <w:tcW w:w="3685" w:type="dxa"/>
            <w:hideMark/>
          </w:tcPr>
          <w:p w:rsidR="000816BA" w:rsidRPr="000816BA" w:rsidRDefault="000816BA" w:rsidP="000816BA">
            <w:pPr>
              <w:spacing w:before="80" w:after="80"/>
              <w:ind w:left="0"/>
              <w:jc w:val="center"/>
              <w:textAlignment w:val="auto"/>
            </w:pPr>
            <w:r w:rsidRPr="000816BA">
              <w:t xml:space="preserve">Taux des taxes </w:t>
            </w:r>
            <w:r w:rsidRPr="000816BA">
              <w:rPr>
                <w:i/>
                <w:sz w:val="16"/>
              </w:rPr>
              <w:t>(cf. contrat de sous-traitance)</w:t>
            </w:r>
            <w:r w:rsidRPr="000816BA">
              <w:rPr>
                <w:sz w:val="16"/>
              </w:rPr>
              <w:t> </w:t>
            </w:r>
            <w:r w:rsidRPr="000816BA">
              <w:t>:</w:t>
            </w:r>
          </w:p>
        </w:tc>
      </w:tr>
      <w:tr w:rsidR="000816BA" w:rsidRPr="000816BA" w:rsidTr="000816BA">
        <w:tc>
          <w:tcPr>
            <w:tcW w:w="2622" w:type="dxa"/>
            <w:gridSpan w:val="2"/>
            <w:hideMark/>
          </w:tcPr>
          <w:p w:rsidR="000816BA" w:rsidRPr="000816BA" w:rsidRDefault="000816BA" w:rsidP="000816BA">
            <w:pPr>
              <w:spacing w:before="80" w:after="80"/>
              <w:ind w:left="0"/>
              <w:jc w:val="left"/>
              <w:textAlignment w:val="auto"/>
            </w:pPr>
            <w:r w:rsidRPr="000816BA">
              <w:t>Montant sous-traité TTC :</w:t>
            </w:r>
          </w:p>
        </w:tc>
        <w:tc>
          <w:tcPr>
            <w:tcW w:w="2268" w:type="dxa"/>
            <w:shd w:val="pct5" w:color="auto" w:fill="auto"/>
            <w:hideMark/>
          </w:tcPr>
          <w:p w:rsidR="000816BA" w:rsidRPr="000816BA" w:rsidRDefault="000816BA" w:rsidP="000816BA">
            <w:pPr>
              <w:spacing w:before="80" w:after="80"/>
              <w:ind w:left="0"/>
              <w:jc w:val="left"/>
              <w:textAlignment w:val="auto"/>
            </w:pPr>
          </w:p>
        </w:tc>
        <w:tc>
          <w:tcPr>
            <w:tcW w:w="709" w:type="dxa"/>
          </w:tcPr>
          <w:p w:rsidR="000816BA" w:rsidRPr="000816BA" w:rsidRDefault="000816BA" w:rsidP="000816BA">
            <w:pPr>
              <w:spacing w:before="80" w:after="80"/>
              <w:ind w:left="0"/>
              <w:jc w:val="left"/>
              <w:textAlignment w:val="auto"/>
            </w:pPr>
          </w:p>
        </w:tc>
        <w:tc>
          <w:tcPr>
            <w:tcW w:w="3685" w:type="dxa"/>
            <w:shd w:val="clear" w:color="auto" w:fill="F2F2F2"/>
          </w:tcPr>
          <w:p w:rsidR="000816BA" w:rsidRPr="000816BA" w:rsidRDefault="000816BA" w:rsidP="000816BA">
            <w:pPr>
              <w:spacing w:before="80" w:after="80"/>
              <w:ind w:left="0"/>
              <w:jc w:val="left"/>
              <w:textAlignment w:val="auto"/>
            </w:pPr>
          </w:p>
        </w:tc>
      </w:tr>
    </w:tbl>
    <w:p w:rsidR="000816BA" w:rsidRPr="000816BA" w:rsidRDefault="000816BA" w:rsidP="000816BA">
      <w:pPr>
        <w:tabs>
          <w:tab w:val="left" w:pos="3402"/>
          <w:tab w:val="left" w:pos="6237"/>
          <w:tab w:val="right" w:pos="9895"/>
        </w:tabs>
        <w:spacing w:after="0"/>
        <w:ind w:left="0"/>
        <w:jc w:val="left"/>
        <w:textAlignment w:val="auto"/>
        <w:rPr>
          <w:lang w:eastAsia="fr-FR"/>
        </w:rPr>
      </w:pPr>
      <w:r w:rsidRPr="000816BA">
        <w:rPr>
          <w:lang w:eastAsia="fr-FR"/>
        </w:rPr>
        <w:t xml:space="preserve">Paiement direct du sous-traitant par l’acheteur public </w:t>
      </w:r>
      <w:r w:rsidRPr="000816BA">
        <w:rPr>
          <w:i/>
          <w:sz w:val="16"/>
          <w:lang w:eastAsia="fr-FR"/>
        </w:rPr>
        <w:t>(choisir l’option 1 ou 2 – à défaut c’est l’option 1 qui s’applique)</w:t>
      </w:r>
      <w:r w:rsidRPr="000816BA">
        <w:rPr>
          <w:lang w:eastAsia="fr-FR"/>
        </w:rPr>
        <w:t xml:space="preserve"> :</w:t>
      </w:r>
    </w:p>
    <w:p w:rsidR="00B66158" w:rsidRPr="000816BA" w:rsidRDefault="00B66158" w:rsidP="00B66158">
      <w:pPr>
        <w:tabs>
          <w:tab w:val="left" w:pos="3402"/>
          <w:tab w:val="left" w:pos="6237"/>
          <w:tab w:val="right" w:pos="9895"/>
        </w:tabs>
        <w:spacing w:after="0"/>
        <w:jc w:val="left"/>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0816BA">
        <w:rPr>
          <w:lang w:eastAsia="fr-FR"/>
        </w:rPr>
        <w:t>1 - Quel que soit le montant sous-traité.</w:t>
      </w:r>
    </w:p>
    <w:p w:rsidR="00B66158" w:rsidRPr="000816BA" w:rsidRDefault="00B66158" w:rsidP="00B66158">
      <w:pPr>
        <w:tabs>
          <w:tab w:val="left" w:pos="3402"/>
          <w:tab w:val="left" w:pos="6237"/>
          <w:tab w:val="right" w:pos="9895"/>
        </w:tabs>
        <w:spacing w:after="0"/>
        <w:ind w:left="1418" w:hanging="567"/>
        <w:jc w:val="left"/>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0816BA">
        <w:rPr>
          <w:lang w:eastAsia="fr-FR"/>
        </w:rPr>
        <w:t>2 - Uniquement lorsque le montant sous-traité cumulé est supérieur à 500.000 F HT.</w:t>
      </w:r>
    </w:p>
    <w:p w:rsidR="000816BA" w:rsidRPr="000816BA" w:rsidRDefault="000816BA" w:rsidP="000816BA">
      <w:pPr>
        <w:spacing w:before="0" w:after="0"/>
        <w:ind w:left="0"/>
        <w:jc w:val="left"/>
        <w:textAlignment w:val="auto"/>
        <w:rPr>
          <w:lang w:eastAsia="fr-FR"/>
        </w:rPr>
      </w:pPr>
    </w:p>
    <w:p w:rsidR="00AD17B3" w:rsidRPr="00AD17B3" w:rsidRDefault="00AD17B3" w:rsidP="00AD17B3">
      <w:pPr>
        <w:spacing w:before="0" w:after="60"/>
        <w:ind w:left="0"/>
        <w:jc w:val="left"/>
        <w:textAlignment w:val="auto"/>
        <w:rPr>
          <w:b/>
          <w:lang w:eastAsia="fr-FR"/>
        </w:rPr>
      </w:pPr>
      <w:r w:rsidRPr="00AD17B3">
        <w:rPr>
          <w:b/>
          <w:lang w:eastAsia="fr-FR"/>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AD17B3" w:rsidRPr="00AD17B3" w:rsidTr="00A133AB">
        <w:tc>
          <w:tcPr>
            <w:tcW w:w="2196" w:type="dxa"/>
            <w:gridSpan w:val="3"/>
            <w:hideMark/>
          </w:tcPr>
          <w:p w:rsidR="00AD17B3" w:rsidRPr="00AD17B3" w:rsidRDefault="00AD17B3" w:rsidP="00AD17B3">
            <w:pPr>
              <w:spacing w:before="40" w:after="40"/>
              <w:ind w:left="0"/>
              <w:jc w:val="left"/>
              <w:textAlignment w:val="auto"/>
            </w:pPr>
            <w:r w:rsidRPr="00AD17B3">
              <w:t>Compte à créditer :</w:t>
            </w:r>
          </w:p>
        </w:tc>
        <w:tc>
          <w:tcPr>
            <w:tcW w:w="1843" w:type="dxa"/>
            <w:gridSpan w:val="3"/>
            <w:hideMark/>
          </w:tcPr>
          <w:p w:rsidR="00AD17B3" w:rsidRPr="00AD17B3" w:rsidRDefault="00AD17B3" w:rsidP="00AD17B3">
            <w:pPr>
              <w:spacing w:before="40" w:after="40"/>
              <w:ind w:left="0"/>
              <w:jc w:val="left"/>
              <w:textAlignment w:val="auto"/>
            </w:pPr>
            <w:r w:rsidRPr="00AD17B3">
              <w:t>NOM :</w:t>
            </w:r>
          </w:p>
        </w:tc>
        <w:tc>
          <w:tcPr>
            <w:tcW w:w="5247" w:type="dxa"/>
            <w:gridSpan w:val="3"/>
            <w:shd w:val="clear" w:color="auto" w:fill="F2F2F2"/>
          </w:tcPr>
          <w:p w:rsidR="00AD17B3" w:rsidRPr="00AD17B3" w:rsidRDefault="00AD17B3" w:rsidP="00AD17B3">
            <w:pPr>
              <w:spacing w:before="40" w:after="40"/>
              <w:ind w:left="0"/>
              <w:jc w:val="left"/>
              <w:textAlignment w:val="auto"/>
            </w:pPr>
          </w:p>
        </w:tc>
      </w:tr>
      <w:tr w:rsidR="00AD17B3" w:rsidRPr="00AD17B3" w:rsidTr="00A133AB">
        <w:trPr>
          <w:gridBefore w:val="1"/>
          <w:wBefore w:w="214" w:type="dxa"/>
        </w:trPr>
        <w:tc>
          <w:tcPr>
            <w:tcW w:w="1843" w:type="dxa"/>
            <w:tcMar>
              <w:top w:w="0" w:type="dxa"/>
              <w:left w:w="71" w:type="dxa"/>
              <w:bottom w:w="0" w:type="dxa"/>
              <w:right w:w="71" w:type="dxa"/>
            </w:tcMar>
            <w:hideMark/>
          </w:tcPr>
          <w:p w:rsidR="00AD17B3" w:rsidRPr="00AD17B3" w:rsidRDefault="00AD17B3" w:rsidP="00AD17B3">
            <w:pPr>
              <w:overflowPunct/>
              <w:autoSpaceDE/>
              <w:autoSpaceDN/>
              <w:adjustRightInd/>
              <w:spacing w:before="40" w:after="40"/>
              <w:ind w:left="0" w:firstLine="567"/>
              <w:textAlignment w:val="auto"/>
            </w:pPr>
            <w:r w:rsidRPr="00AD17B3">
              <w:t>BANQUE :</w:t>
            </w:r>
          </w:p>
        </w:tc>
        <w:tc>
          <w:tcPr>
            <w:tcW w:w="7229" w:type="dxa"/>
            <w:gridSpan w:val="7"/>
            <w:shd w:val="clear" w:color="auto" w:fill="F2F2F2"/>
            <w:tcMar>
              <w:top w:w="0" w:type="dxa"/>
              <w:left w:w="71" w:type="dxa"/>
              <w:bottom w:w="0" w:type="dxa"/>
              <w:right w:w="71" w:type="dxa"/>
            </w:tcMar>
          </w:tcPr>
          <w:p w:rsidR="00AD17B3" w:rsidRPr="00AD17B3" w:rsidRDefault="00AD17B3" w:rsidP="00AD17B3">
            <w:pPr>
              <w:overflowPunct/>
              <w:autoSpaceDE/>
              <w:autoSpaceDN/>
              <w:adjustRightInd/>
              <w:spacing w:before="40" w:after="40"/>
              <w:ind w:left="0" w:firstLine="567"/>
              <w:textAlignment w:val="auto"/>
              <w:rPr>
                <w:bCs/>
              </w:rPr>
            </w:pPr>
          </w:p>
        </w:tc>
      </w:tr>
      <w:tr w:rsidR="00AD17B3" w:rsidRPr="00AD17B3" w:rsidTr="00A133AB">
        <w:trPr>
          <w:gridBefore w:val="1"/>
          <w:wBefore w:w="214" w:type="dxa"/>
        </w:trPr>
        <w:tc>
          <w:tcPr>
            <w:tcW w:w="3686" w:type="dxa"/>
            <w:gridSpan w:val="4"/>
            <w:tcMar>
              <w:top w:w="0" w:type="dxa"/>
              <w:left w:w="71" w:type="dxa"/>
              <w:bottom w:w="0" w:type="dxa"/>
              <w:right w:w="71" w:type="dxa"/>
            </w:tcMar>
            <w:hideMark/>
          </w:tcPr>
          <w:p w:rsidR="00AD17B3" w:rsidRPr="00AD17B3" w:rsidRDefault="00AD17B3" w:rsidP="00AD17B3">
            <w:pPr>
              <w:overflowPunct/>
              <w:autoSpaceDE/>
              <w:autoSpaceDN/>
              <w:adjustRightInd/>
              <w:spacing w:before="40" w:after="40"/>
              <w:ind w:left="0" w:firstLine="567"/>
              <w:textAlignment w:val="auto"/>
            </w:pPr>
            <w:r w:rsidRPr="00AD17B3">
              <w:t>N° DE COMPTE </w:t>
            </w:r>
            <w:r w:rsidRPr="00AD17B3">
              <w:rPr>
                <w:sz w:val="16"/>
              </w:rPr>
              <w:t>(23 chiffres)</w:t>
            </w:r>
            <w:r w:rsidRPr="00AD17B3">
              <w:t> :</w:t>
            </w:r>
          </w:p>
        </w:tc>
        <w:tc>
          <w:tcPr>
            <w:tcW w:w="5386" w:type="dxa"/>
            <w:gridSpan w:val="4"/>
            <w:shd w:val="clear" w:color="auto" w:fill="F2F2F2"/>
            <w:tcMar>
              <w:top w:w="0" w:type="dxa"/>
              <w:left w:w="71" w:type="dxa"/>
              <w:bottom w:w="0" w:type="dxa"/>
              <w:right w:w="71" w:type="dxa"/>
            </w:tcMar>
            <w:hideMark/>
          </w:tcPr>
          <w:p w:rsidR="00AD17B3" w:rsidRPr="00AD17B3" w:rsidRDefault="00AD17B3" w:rsidP="00AD17B3">
            <w:pPr>
              <w:spacing w:before="60" w:after="60"/>
              <w:ind w:left="0"/>
              <w:jc w:val="left"/>
              <w:textAlignment w:val="auto"/>
              <w:rPr>
                <w:color w:val="0070C0"/>
              </w:rPr>
            </w:pPr>
            <w:r w:rsidRPr="00AD17B3">
              <w:t>|_|_|_|_|_|  |_|_|_|_|_|  |_|_|_|_|_|_|_|_|_|_|_|  |_|_|</w:t>
            </w:r>
          </w:p>
        </w:tc>
      </w:tr>
      <w:tr w:rsidR="00AD17B3" w:rsidRPr="00AD17B3" w:rsidTr="00A133AB">
        <w:tc>
          <w:tcPr>
            <w:tcW w:w="3331" w:type="dxa"/>
            <w:gridSpan w:val="4"/>
            <w:hideMark/>
          </w:tcPr>
          <w:p w:rsidR="00AD17B3" w:rsidRPr="00AD17B3" w:rsidRDefault="00AD17B3" w:rsidP="00AD17B3">
            <w:pPr>
              <w:spacing w:before="40" w:after="40"/>
              <w:ind w:left="0"/>
              <w:jc w:val="left"/>
              <w:textAlignment w:val="auto"/>
              <w:rPr>
                <w:b/>
              </w:rPr>
            </w:pPr>
            <w:r w:rsidRPr="00AD17B3">
              <w:t>Modalités de variation des prix :</w:t>
            </w:r>
          </w:p>
        </w:tc>
        <w:tc>
          <w:tcPr>
            <w:tcW w:w="5955" w:type="dxa"/>
            <w:gridSpan w:val="5"/>
            <w:shd w:val="clear" w:color="auto" w:fill="F2F2F2"/>
          </w:tcPr>
          <w:p w:rsidR="00AD17B3" w:rsidRPr="00AD17B3" w:rsidRDefault="00AD17B3" w:rsidP="00AD17B3">
            <w:pPr>
              <w:spacing w:before="40" w:after="40"/>
              <w:ind w:left="0"/>
              <w:jc w:val="left"/>
              <w:textAlignment w:val="auto"/>
              <w:rPr>
                <w:color w:val="00B050"/>
              </w:rPr>
            </w:pPr>
          </w:p>
        </w:tc>
      </w:tr>
      <w:tr w:rsidR="00AD17B3" w:rsidRPr="00AD17B3" w:rsidTr="00A133AB">
        <w:tc>
          <w:tcPr>
            <w:tcW w:w="3331" w:type="dxa"/>
            <w:gridSpan w:val="4"/>
            <w:tcMar>
              <w:top w:w="0" w:type="dxa"/>
              <w:left w:w="71" w:type="dxa"/>
              <w:bottom w:w="0" w:type="dxa"/>
              <w:right w:w="71" w:type="dxa"/>
            </w:tcMar>
            <w:hideMark/>
          </w:tcPr>
          <w:p w:rsidR="00AD17B3" w:rsidRPr="00AD17B3" w:rsidRDefault="00AD17B3" w:rsidP="00AD17B3">
            <w:pPr>
              <w:spacing w:before="40" w:after="40"/>
              <w:ind w:left="0"/>
              <w:jc w:val="left"/>
              <w:textAlignment w:val="auto"/>
              <w:rPr>
                <w:b/>
              </w:rPr>
            </w:pPr>
            <w:r w:rsidRPr="00AD17B3">
              <w:t>Mois d'établissement des prix :</w:t>
            </w:r>
          </w:p>
        </w:tc>
        <w:tc>
          <w:tcPr>
            <w:tcW w:w="5955" w:type="dxa"/>
            <w:gridSpan w:val="5"/>
            <w:shd w:val="clear" w:color="auto" w:fill="F2F2F2"/>
            <w:tcMar>
              <w:top w:w="0" w:type="dxa"/>
              <w:left w:w="71" w:type="dxa"/>
              <w:bottom w:w="0" w:type="dxa"/>
              <w:right w:w="71" w:type="dxa"/>
            </w:tcMar>
          </w:tcPr>
          <w:p w:rsidR="00AD17B3" w:rsidRPr="00AD17B3" w:rsidRDefault="00AD17B3" w:rsidP="00AD17B3">
            <w:pPr>
              <w:spacing w:before="40" w:after="40"/>
              <w:ind w:left="0"/>
              <w:jc w:val="left"/>
              <w:textAlignment w:val="auto"/>
              <w:rPr>
                <w:color w:val="00B050"/>
              </w:rPr>
            </w:pPr>
          </w:p>
        </w:tc>
      </w:tr>
      <w:tr w:rsidR="00AD17B3" w:rsidRPr="00AD17B3" w:rsidTr="00A133AB">
        <w:tblPrEx>
          <w:tblCellMar>
            <w:left w:w="71" w:type="dxa"/>
            <w:right w:w="71" w:type="dxa"/>
          </w:tblCellMar>
        </w:tblPrEx>
        <w:tc>
          <w:tcPr>
            <w:tcW w:w="4750" w:type="dxa"/>
            <w:gridSpan w:val="7"/>
            <w:hideMark/>
          </w:tcPr>
          <w:p w:rsidR="00AD17B3" w:rsidRPr="00AD17B3" w:rsidRDefault="00AD17B3" w:rsidP="00AD17B3">
            <w:pPr>
              <w:spacing w:before="40" w:after="40" w:line="276" w:lineRule="auto"/>
              <w:ind w:left="0"/>
              <w:jc w:val="left"/>
              <w:textAlignment w:val="auto"/>
            </w:pPr>
            <w:r w:rsidRPr="00AD17B3">
              <w:t>Avance, si elle est prévue à l’art. 8.4 du CCAP </w:t>
            </w:r>
            <w:r w:rsidRPr="00AD17B3">
              <w:rPr>
                <w:sz w:val="16"/>
              </w:rPr>
              <w:t>(*)</w:t>
            </w:r>
            <w:r w:rsidRPr="00AD17B3">
              <w:t xml:space="preserve"> :</w:t>
            </w:r>
          </w:p>
        </w:tc>
        <w:tc>
          <w:tcPr>
            <w:tcW w:w="3119" w:type="dxa"/>
            <w:shd w:val="clear" w:color="auto" w:fill="F2F2F2" w:themeFill="background1" w:themeFillShade="F2"/>
            <w:hideMark/>
          </w:tcPr>
          <w:p w:rsidR="00AD17B3" w:rsidRPr="00AD17B3" w:rsidRDefault="00AD17B3" w:rsidP="00AD17B3">
            <w:pPr>
              <w:spacing w:before="40" w:after="40" w:line="276" w:lineRule="auto"/>
              <w:ind w:left="0"/>
              <w:jc w:val="left"/>
              <w:textAlignment w:val="auto"/>
            </w:pPr>
            <w:r w:rsidRPr="00AD17B3">
              <w:rPr>
                <w:rFonts w:ascii="MS Gothic" w:eastAsia="MS Gothic" w:hAnsi="MS Gothic" w:cs="MS Gothic" w:hint="eastAsia"/>
                <w:lang w:eastAsia="fr-FR"/>
              </w:rPr>
              <w:t>☐</w:t>
            </w:r>
            <w:r w:rsidRPr="00AD17B3">
              <w:rPr>
                <w:lang w:eastAsia="fr-FR"/>
              </w:rPr>
              <w:t xml:space="preserve"> </w:t>
            </w:r>
            <w:r w:rsidR="00FC685A">
              <w:t>Demandée à hauteur de : .... %</w:t>
            </w:r>
          </w:p>
        </w:tc>
        <w:tc>
          <w:tcPr>
            <w:tcW w:w="1417" w:type="dxa"/>
            <w:shd w:val="clear" w:color="auto" w:fill="F2F2F2" w:themeFill="background1" w:themeFillShade="F2"/>
            <w:hideMark/>
          </w:tcPr>
          <w:p w:rsidR="00AD17B3" w:rsidRPr="00AD17B3" w:rsidRDefault="00AD17B3" w:rsidP="00AD17B3">
            <w:pPr>
              <w:spacing w:before="40" w:after="40" w:line="276" w:lineRule="auto"/>
              <w:ind w:left="0"/>
              <w:jc w:val="center"/>
              <w:textAlignment w:val="auto"/>
            </w:pPr>
            <w:r w:rsidRPr="00AD17B3">
              <w:rPr>
                <w:rFonts w:ascii="MS Gothic" w:eastAsia="MS Gothic" w:hAnsi="MS Gothic" w:cs="MS Gothic" w:hint="eastAsia"/>
                <w:lang w:eastAsia="fr-FR"/>
              </w:rPr>
              <w:t>☐</w:t>
            </w:r>
            <w:r w:rsidRPr="00AD17B3">
              <w:rPr>
                <w:lang w:eastAsia="fr-FR"/>
              </w:rPr>
              <w:t xml:space="preserve"> </w:t>
            </w:r>
            <w:r w:rsidRPr="00AD17B3">
              <w:t>Refusée</w:t>
            </w:r>
          </w:p>
        </w:tc>
      </w:tr>
    </w:tbl>
    <w:p w:rsidR="00AD17B3" w:rsidRPr="00AD17B3" w:rsidRDefault="00AD17B3" w:rsidP="00AD17B3">
      <w:pPr>
        <w:ind w:left="0"/>
        <w:jc w:val="left"/>
        <w:textAlignment w:val="auto"/>
        <w:rPr>
          <w:lang w:eastAsia="fr-FR"/>
        </w:rPr>
      </w:pPr>
      <w:r w:rsidRPr="00AD17B3">
        <w:rPr>
          <w:sz w:val="16"/>
          <w:szCs w:val="16"/>
          <w:lang w:eastAsia="fr-FR"/>
        </w:rPr>
        <w:t xml:space="preserve">(*) Une seule des deux cases doit impérativement être cochée. L’avance est réputée </w:t>
      </w:r>
      <w:r w:rsidR="00FC685A">
        <w:rPr>
          <w:sz w:val="16"/>
          <w:szCs w:val="16"/>
          <w:lang w:eastAsia="fr-FR"/>
        </w:rPr>
        <w:t>être demandée au % maxi</w:t>
      </w:r>
      <w:r w:rsidRPr="00AD17B3">
        <w:rPr>
          <w:sz w:val="16"/>
          <w:szCs w:val="16"/>
          <w:lang w:eastAsia="fr-FR"/>
        </w:rPr>
        <w:t xml:space="preserve"> si aucune case n’est cochée.</w:t>
      </w:r>
    </w:p>
    <w:p w:rsidR="00AD17B3" w:rsidRPr="00AD17B3" w:rsidRDefault="00AD17B3" w:rsidP="00AD17B3">
      <w:pPr>
        <w:spacing w:before="0"/>
        <w:ind w:left="0"/>
        <w:rPr>
          <w:lang w:eastAsia="fr-FR"/>
        </w:rPr>
      </w:pPr>
      <w:r w:rsidRPr="00AD17B3">
        <w:rPr>
          <w:lang w:eastAsia="fr-FR"/>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0816BA" w:rsidRPr="000816BA" w:rsidRDefault="000816BA" w:rsidP="000816BA">
      <w:pPr>
        <w:spacing w:before="0"/>
        <w:ind w:left="0"/>
        <w:textAlignment w:val="auto"/>
        <w:rPr>
          <w:lang w:eastAsia="fr-FR"/>
        </w:rPr>
      </w:pPr>
      <w:r w:rsidRPr="000816BA">
        <w:rPr>
          <w:lang w:eastAsia="fr-FR"/>
        </w:rPr>
        <w:t>Fait en un seul original, à ………………………</w:t>
      </w:r>
      <w:proofErr w:type="gramStart"/>
      <w:r w:rsidRPr="000816BA">
        <w:rPr>
          <w:lang w:eastAsia="fr-FR"/>
        </w:rPr>
        <w:t>… ,</w:t>
      </w:r>
      <w:proofErr w:type="gramEnd"/>
      <w:r w:rsidRPr="000816BA">
        <w:rPr>
          <w:lang w:eastAsia="fr-FR"/>
        </w:rPr>
        <w:t xml:space="preserve">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0816BA" w:rsidRPr="000816BA" w:rsidTr="000816BA">
        <w:tc>
          <w:tcPr>
            <w:tcW w:w="3189" w:type="dxa"/>
          </w:tcPr>
          <w:p w:rsidR="000816BA" w:rsidRPr="000816BA" w:rsidRDefault="000816BA" w:rsidP="000816BA">
            <w:pPr>
              <w:spacing w:before="0" w:after="0"/>
              <w:ind w:left="0"/>
              <w:jc w:val="center"/>
              <w:textAlignment w:val="auto"/>
              <w:rPr>
                <w:b/>
              </w:rPr>
            </w:pPr>
            <w:r w:rsidRPr="000816BA">
              <w:rPr>
                <w:b/>
              </w:rPr>
              <w:t>LE TITULAIRE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left"/>
              <w:textAlignment w:val="auto"/>
            </w:pPr>
          </w:p>
        </w:tc>
        <w:tc>
          <w:tcPr>
            <w:tcW w:w="2693" w:type="dxa"/>
          </w:tcPr>
          <w:p w:rsidR="000816BA" w:rsidRPr="000816BA" w:rsidRDefault="000816BA" w:rsidP="000816BA">
            <w:pPr>
              <w:spacing w:before="0" w:after="0"/>
              <w:ind w:left="0"/>
              <w:jc w:val="center"/>
              <w:textAlignment w:val="auto"/>
            </w:pPr>
          </w:p>
        </w:tc>
        <w:tc>
          <w:tcPr>
            <w:tcW w:w="3449" w:type="dxa"/>
          </w:tcPr>
          <w:p w:rsidR="000816BA" w:rsidRPr="000816BA" w:rsidRDefault="000816BA" w:rsidP="000816BA">
            <w:pPr>
              <w:spacing w:before="0" w:after="0"/>
              <w:ind w:left="0"/>
              <w:jc w:val="center"/>
              <w:textAlignment w:val="auto"/>
              <w:rPr>
                <w:b/>
              </w:rPr>
            </w:pPr>
            <w:r w:rsidRPr="000816BA">
              <w:rPr>
                <w:b/>
              </w:rPr>
              <w:t>LE SOUS-TRAITANT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tc>
      </w:tr>
      <w:tr w:rsidR="000816BA" w:rsidRPr="000816BA" w:rsidTr="000816BA">
        <w:tc>
          <w:tcPr>
            <w:tcW w:w="9331" w:type="dxa"/>
            <w:gridSpan w:val="3"/>
            <w:hideMark/>
          </w:tcPr>
          <w:p w:rsidR="000816BA" w:rsidRPr="000816BA" w:rsidRDefault="000816BA" w:rsidP="000816BA">
            <w:pPr>
              <w:spacing w:before="0" w:after="0" w:line="276" w:lineRule="auto"/>
              <w:ind w:left="0"/>
              <w:jc w:val="left"/>
              <w:textAlignment w:val="auto"/>
              <w:rPr>
                <w:sz w:val="16"/>
                <w:szCs w:val="16"/>
              </w:rPr>
            </w:pPr>
            <w:r w:rsidRPr="000816BA">
              <w:rPr>
                <w:sz w:val="16"/>
                <w:szCs w:val="16"/>
              </w:rPr>
              <w:t>(1) Après avoir écrit la mention manuscrite "LU ET ACCEPTÉ", la personne habilitée à représenter l’entreprise appose sa signature, et précise son nom en lettres capitales sous la signature.</w:t>
            </w:r>
          </w:p>
        </w:tc>
      </w:tr>
    </w:tbl>
    <w:p w:rsidR="00F6628D" w:rsidRDefault="00F6628D" w:rsidP="00F6628D">
      <w:pPr>
        <w:pStyle w:val="NormalX"/>
      </w:pPr>
    </w:p>
    <w:p w:rsidR="00F6628D" w:rsidRDefault="00F6628D" w:rsidP="00F6628D">
      <w:pPr>
        <w:overflowPunct/>
        <w:autoSpaceDE/>
        <w:autoSpaceDN/>
        <w:adjustRightInd/>
        <w:spacing w:before="0" w:after="0"/>
        <w:ind w:left="0"/>
        <w:jc w:val="left"/>
        <w:sectPr w:rsidR="00F6628D" w:rsidSect="000816BA">
          <w:footerReference w:type="default" r:id="rId15"/>
          <w:pgSz w:w="11906" w:h="16838"/>
          <w:pgMar w:top="851" w:right="1417" w:bottom="1417" w:left="1417" w:header="708" w:footer="773" w:gutter="0"/>
          <w:cols w:space="720"/>
        </w:sectPr>
      </w:pPr>
    </w:p>
    <w:p w:rsidR="00F6628D" w:rsidRDefault="00F6628D" w:rsidP="00F6628D">
      <w:pPr>
        <w:pStyle w:val="0ENTETE"/>
      </w:pPr>
      <w:bookmarkStart w:id="196" w:name="_Toc58942321"/>
      <w:bookmarkStart w:id="197" w:name="_Toc64622270"/>
      <w:r>
        <w:lastRenderedPageBreak/>
        <w:t>ANNEXE 2 AU CCAP : MODELE D’ACTE SPECIAL DE SOUS-TRAITANCE</w:t>
      </w:r>
      <w:bookmarkEnd w:id="196"/>
      <w:bookmarkEnd w:id="197"/>
    </w:p>
    <w:p w:rsidR="00F6628D" w:rsidRDefault="00F6628D" w:rsidP="00F6628D"/>
    <w:p w:rsidR="00F6628D" w:rsidRDefault="00F6628D" w:rsidP="00F6628D">
      <w:pPr>
        <w:overflowPunct/>
        <w:autoSpaceDE/>
        <w:autoSpaceDN/>
        <w:adjustRightInd/>
        <w:spacing w:before="0" w:after="0"/>
        <w:ind w:left="0"/>
        <w:jc w:val="left"/>
        <w:sectPr w:rsidR="00F6628D" w:rsidSect="00BB6A66">
          <w:footerReference w:type="default" r:id="rId16"/>
          <w:pgSz w:w="11906" w:h="16838"/>
          <w:pgMar w:top="1134" w:right="1417" w:bottom="1417" w:left="1417" w:header="708" w:footer="708" w:gutter="0"/>
          <w:pgNumType w:start="1"/>
          <w:cols w:space="720"/>
        </w:sectPr>
      </w:pPr>
    </w:p>
    <w:p w:rsidR="00F6628D" w:rsidRDefault="00F6628D" w:rsidP="00F6628D">
      <w:pPr>
        <w:pStyle w:val="ANXNIV0"/>
        <w:rPr>
          <w:lang w:eastAsia="fr-FR"/>
        </w:rPr>
      </w:pPr>
      <w:r>
        <w:rPr>
          <w:lang w:eastAsia="fr-FR"/>
        </w:rPr>
        <w:lastRenderedPageBreak/>
        <w:t>ACTE SPECIAL N ° ………………….. PORTANT ACCEPTATION D'UN SOUS-TRAITANT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lang w:eastAsia="fr-FR"/>
        </w:rPr>
        <w:t xml:space="preserve">constitue un </w:t>
      </w:r>
      <w:r>
        <w:rPr>
          <w:b/>
          <w:lang w:eastAsia="fr-FR"/>
        </w:rPr>
        <w:t>acte spécial</w:t>
      </w:r>
      <w:r>
        <w:rPr>
          <w:lang w:eastAsia="fr-FR"/>
        </w:rPr>
        <w:t xml:space="preserve"> portant acceptation du sous-traitant et agrément de ses conditions de paiement.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lang w:eastAsia="fr-FR"/>
        </w:rPr>
        <w:t xml:space="preserve">constitue un </w:t>
      </w:r>
      <w:r>
        <w:rPr>
          <w:b/>
          <w:lang w:eastAsia="fr-FR"/>
        </w:rPr>
        <w:t>acte spécial modificatif</w:t>
      </w:r>
      <w:r>
        <w:rPr>
          <w:lang w:eastAsia="fr-FR"/>
        </w:rPr>
        <w:t>, annulant et remplaçant :</w:t>
      </w:r>
    </w:p>
    <w:p w:rsidR="00F6628D" w:rsidRDefault="00F6628D" w:rsidP="00F6628D">
      <w:pPr>
        <w:rPr>
          <w:lang w:eastAsia="fr-FR"/>
        </w:rPr>
      </w:pPr>
      <w:proofErr w:type="gramStart"/>
      <w:r>
        <w:rPr>
          <w:lang w:eastAsia="fr-FR"/>
        </w:rPr>
        <w:t>l’annexe</w:t>
      </w:r>
      <w:proofErr w:type="gramEnd"/>
      <w:r>
        <w:rPr>
          <w:lang w:eastAsia="fr-FR"/>
        </w:rPr>
        <w:t xml:space="preserve"> n° ….  </w:t>
      </w:r>
      <w:proofErr w:type="gramStart"/>
      <w:r>
        <w:rPr>
          <w:lang w:eastAsia="fr-FR"/>
        </w:rPr>
        <w:t>de</w:t>
      </w:r>
      <w:proofErr w:type="gramEnd"/>
      <w:r>
        <w:rPr>
          <w:lang w:eastAsia="fr-FR"/>
        </w:rPr>
        <w:t xml:space="preserv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3872" behindDoc="0" locked="0" layoutInCell="1" allowOverlap="1" wp14:anchorId="3AF8A131" wp14:editId="6F4CB5E8">
                <wp:simplePos x="0" y="0"/>
                <wp:positionH relativeFrom="column">
                  <wp:posOffset>579120</wp:posOffset>
                </wp:positionH>
                <wp:positionV relativeFrom="paragraph">
                  <wp:posOffset>330835</wp:posOffset>
                </wp:positionV>
                <wp:extent cx="5200650" cy="2352675"/>
                <wp:effectExtent l="0" t="0" r="19050" b="28575"/>
                <wp:wrapTopAndBottom/>
                <wp:docPr id="4" name="Rectangle 4"/>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1C5FBB" w:rsidRDefault="001C5FBB" w:rsidP="00F6628D">
                            <w:pPr>
                              <w:ind w:left="0"/>
                            </w:pPr>
                            <w:r>
                              <w:t xml:space="preserve">Espace réservé à la mention prévue à l’article 97 de la </w:t>
                            </w:r>
                            <w:proofErr w:type="spellStart"/>
                            <w:r>
                              <w:t>délib</w:t>
                            </w:r>
                            <w:proofErr w:type="spellEnd"/>
                            <w:r>
                              <w:t xml:space="preserve">. </w:t>
                            </w:r>
                            <w:proofErr w:type="gramStart"/>
                            <w:r>
                              <w:t>n</w:t>
                            </w:r>
                            <w:proofErr w:type="gramEnd"/>
                            <w:r>
                              <w:t>°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5.6pt;margin-top:26.05pt;width:409.5pt;height:18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" filled="f" strokecolor="#bfbfbf" strokeweight=".25pt">
                <v:stroke dashstyle="dash"/>
                <v:textbox inset="1mm,.5mm,1mm,1mm">
                  <w:txbxContent>
                    <w:p w:rsidR="001C5FBB" w:rsidRDefault="001C5FBB" w:rsidP="00F6628D">
                      <w:pPr>
                        <w:ind w:left="0"/>
                      </w:pPr>
                      <w:r>
                        <w:t xml:space="preserve">Espace réservé à la mention prévue à l’article 97 de la </w:t>
                      </w:r>
                      <w:proofErr w:type="spellStart"/>
                      <w:r>
                        <w:t>délib</w:t>
                      </w:r>
                      <w:proofErr w:type="spellEnd"/>
                      <w:r>
                        <w:t xml:space="preserve">. </w:t>
                      </w:r>
                      <w:proofErr w:type="gramStart"/>
                      <w:r>
                        <w:t>n</w:t>
                      </w:r>
                      <w:proofErr w:type="gramEnd"/>
                      <w:r>
                        <w:t>° 424 du 20 mars 2019</w:t>
                      </w:r>
                    </w:p>
                  </w:txbxContent>
                </v:textbox>
                <w10:wrap type="topAndBottom"/>
              </v:rect>
            </w:pict>
          </mc:Fallback>
        </mc:AlternateContent>
      </w:r>
      <w:proofErr w:type="gramStart"/>
      <w:r>
        <w:rPr>
          <w:lang w:eastAsia="fr-FR"/>
        </w:rPr>
        <w:t>l’acte</w:t>
      </w:r>
      <w:proofErr w:type="gramEnd"/>
      <w:r>
        <w:rPr>
          <w:lang w:eastAsia="fr-FR"/>
        </w:rPr>
        <w:t xml:space="preserve"> spécial précédent n° ……. notifié à la date du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 :</w:t>
      </w:r>
      <w:r>
        <w:rPr>
          <w:lang w:eastAsia="fr-FR"/>
        </w:rPr>
        <w:tab/>
      </w:r>
    </w:p>
    <w:p w:rsidR="00F6628D" w:rsidRDefault="00F6628D" w:rsidP="00F6628D">
      <w:pPr>
        <w:rPr>
          <w:lang w:eastAsia="fr-FR"/>
        </w:rPr>
      </w:pPr>
      <w:r>
        <w:rPr>
          <w:lang w:eastAsia="fr-FR"/>
        </w:rPr>
        <w:t>Lot :</w:t>
      </w:r>
      <w:r>
        <w:rPr>
          <w:lang w:eastAsia="fr-FR"/>
        </w:rPr>
        <w:tab/>
      </w:r>
      <w:r>
        <w:rPr>
          <w:lang w:eastAsia="fr-FR"/>
        </w:rPr>
        <w:tab/>
        <w:t>Titulaire :</w:t>
      </w:r>
      <w:r>
        <w:rPr>
          <w:lang w:eastAsia="fr-FR"/>
        </w:rPr>
        <w:tab/>
      </w:r>
    </w:p>
    <w:p w:rsidR="00F6628D" w:rsidRDefault="00F6628D" w:rsidP="00F6628D">
      <w:pPr>
        <w:rPr>
          <w:b/>
          <w:lang w:eastAsia="fr-FR"/>
        </w:rPr>
      </w:pPr>
      <w:r>
        <w:rPr>
          <w:lang w:eastAsia="fr-FR"/>
        </w:rPr>
        <w:t>Mandataire du groupement :</w:t>
      </w:r>
      <w:r>
        <w:rPr>
          <w:lang w:eastAsia="fr-FR"/>
        </w:rPr>
        <w:tab/>
      </w:r>
    </w:p>
    <w:p w:rsidR="00F6628D" w:rsidRDefault="00F6628D" w:rsidP="00F6628D">
      <w:pPr>
        <w:pStyle w:val="ANXNIV1"/>
      </w:pPr>
      <w:r>
        <w:t>SOUS-TRAITANT :</w:t>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société, etc…) :</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lastRenderedPageBreak/>
        <w:t>Le sous-traitant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lang w:eastAsia="fr-FR"/>
        </w:rPr>
      </w:pPr>
      <w:r>
        <w:rPr>
          <w:lang w:eastAsia="fr-FR"/>
        </w:rPr>
        <w:t>Nature précise :</w:t>
      </w:r>
      <w:r>
        <w:rPr>
          <w:lang w:eastAsia="fr-FR"/>
        </w:rPr>
        <w:tab/>
      </w:r>
    </w:p>
    <w:p w:rsidR="00F6628D" w:rsidRDefault="00F6628D" w:rsidP="00F6628D">
      <w:pPr>
        <w:rPr>
          <w:lang w:eastAsia="fr-FR"/>
        </w:rPr>
      </w:pPr>
    </w:p>
    <w:p w:rsidR="00F6628D" w:rsidRDefault="00F6628D" w:rsidP="00F6628D">
      <w:pPr>
        <w:rPr>
          <w:lang w:eastAsia="fr-FR"/>
        </w:rPr>
      </w:pPr>
      <w:r>
        <w:rPr>
          <w:lang w:eastAsia="fr-FR"/>
        </w:rPr>
        <w:t>Montant sous-traité HT :</w:t>
      </w:r>
      <w:r w:rsidR="00C1553F">
        <w:rPr>
          <w:lang w:eastAsia="fr-FR"/>
        </w:rPr>
        <w:t xml:space="preserve"> ______________</w:t>
      </w:r>
      <w:r>
        <w:rPr>
          <w:lang w:eastAsia="fr-FR"/>
        </w:rPr>
        <w:t xml:space="preserve"> </w:t>
      </w:r>
    </w:p>
    <w:p w:rsidR="00F6628D" w:rsidRDefault="00F6628D" w:rsidP="00F6628D">
      <w:pPr>
        <w:rPr>
          <w:lang w:eastAsia="fr-FR"/>
        </w:rPr>
      </w:pPr>
      <w:r>
        <w:rPr>
          <w:lang w:eastAsia="fr-FR"/>
        </w:rPr>
        <w:t>Taux des taxes (cf. contrat de sous-traitance) :</w:t>
      </w:r>
      <w:r w:rsidR="00C1553F">
        <w:rPr>
          <w:lang w:eastAsia="fr-FR"/>
        </w:rPr>
        <w:t xml:space="preserve"> ________________</w:t>
      </w:r>
      <w:r>
        <w:rPr>
          <w:lang w:eastAsia="fr-FR"/>
        </w:rPr>
        <w:t xml:space="preserve"> </w:t>
      </w:r>
    </w:p>
    <w:p w:rsidR="00F6628D" w:rsidRDefault="00F6628D" w:rsidP="00F6628D">
      <w:pPr>
        <w:rPr>
          <w:lang w:eastAsia="fr-FR"/>
        </w:rPr>
      </w:pPr>
      <w:r>
        <w:rPr>
          <w:lang w:eastAsia="fr-FR"/>
        </w:rPr>
        <w:t>Montant sous-traité TTC :</w:t>
      </w:r>
      <w:r w:rsidR="00C1553F">
        <w:rPr>
          <w:lang w:eastAsia="fr-FR"/>
        </w:rPr>
        <w:t xml:space="preserve"> ________________</w:t>
      </w:r>
      <w:r>
        <w:rPr>
          <w:lang w:eastAsia="fr-FR"/>
        </w:rPr>
        <w:t xml:space="preserve"> </w:t>
      </w:r>
    </w:p>
    <w:p w:rsidR="00F6628D" w:rsidRDefault="00F6628D" w:rsidP="00F6628D">
      <w:pPr>
        <w:pStyle w:val="ANXNIV1"/>
      </w:pPr>
      <w:r>
        <w:t>CONDITIONS DE PAIEMENT DU CONTRAT DE SOUS-TRAITANCE :</w:t>
      </w:r>
    </w:p>
    <w:p w:rsidR="00F6628D" w:rsidRDefault="00F6628D" w:rsidP="00F6628D">
      <w:r>
        <w:t>Paiement direct du sous-traitant par l’acheteur public (choisir l’option 1 ou 2 – à défaut c’est l’option 1 qui s’applique) :</w:t>
      </w:r>
    </w:p>
    <w:p w:rsidR="00B66158" w:rsidRDefault="00B66158" w:rsidP="00B66158">
      <w:pPr>
        <w:pStyle w:val="ListeX"/>
        <w:ind w:left="1985" w:hanging="644"/>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t>1 - Quel que soit le montant sous-traité.</w:t>
      </w:r>
    </w:p>
    <w:p w:rsidR="00B66158" w:rsidRDefault="00B66158" w:rsidP="00B66158">
      <w:pPr>
        <w:pStyle w:val="ListeX"/>
        <w:ind w:left="1985" w:hanging="644"/>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t>2 - Uniquement lorsque le montant sous-traité est supérieur à 500.000 F HT.</w:t>
      </w:r>
    </w:p>
    <w:p w:rsidR="00F6628D" w:rsidRDefault="00F6628D" w:rsidP="00F6628D">
      <w:pPr>
        <w:pStyle w:val="ANXNIV1"/>
      </w:pPr>
      <w:r>
        <w:t>COMPTE A CREDITER :</w:t>
      </w:r>
    </w:p>
    <w:p w:rsidR="00F6628D" w:rsidRDefault="00F6628D" w:rsidP="00F6628D">
      <w:pPr>
        <w:pStyle w:val="NormalX"/>
      </w:pPr>
      <w:r>
        <w:t>NOM :</w:t>
      </w:r>
      <w:r>
        <w:tab/>
      </w:r>
    </w:p>
    <w:p w:rsidR="00F6628D" w:rsidRDefault="00F6628D" w:rsidP="00F6628D">
      <w:pPr>
        <w:pStyle w:val="NormalX"/>
      </w:pPr>
      <w:r>
        <w:t>BANQUE :</w:t>
      </w:r>
      <w:r>
        <w:tab/>
      </w:r>
    </w:p>
    <w:p w:rsidR="00F6628D" w:rsidRDefault="00F6628D" w:rsidP="00F6628D">
      <w:pPr>
        <w:pStyle w:val="NormalX"/>
      </w:pPr>
      <w:r>
        <w:t>N° DE COMPTE (23 chiffres) :</w:t>
      </w:r>
    </w:p>
    <w:p w:rsidR="00F6628D" w:rsidRDefault="00F6628D" w:rsidP="00F6628D">
      <w:pPr>
        <w:pStyle w:val="NormalX"/>
      </w:pPr>
      <w:r>
        <w:t>|__|__|__|__|__| |__|__|__|__|__| |__|__|__|__|__|__|__|__|__|__|__| |__|__|</w:t>
      </w:r>
    </w:p>
    <w:p w:rsidR="00F6628D" w:rsidRDefault="00F6628D" w:rsidP="00F6628D">
      <w:pPr>
        <w:pStyle w:val="ANXNIV1"/>
      </w:pPr>
      <w:r>
        <w:t>VARIATION DES PRIX :</w:t>
      </w:r>
      <w:r>
        <w:tab/>
      </w:r>
    </w:p>
    <w:p w:rsidR="00F6628D" w:rsidRDefault="00F6628D" w:rsidP="00F6628D">
      <w:pPr>
        <w:rPr>
          <w:lang w:eastAsia="fr-FR"/>
        </w:rPr>
      </w:pPr>
      <w:r>
        <w:rPr>
          <w:lang w:eastAsia="fr-FR"/>
        </w:rPr>
        <w:t>Modalités de variation des prix :</w:t>
      </w:r>
      <w:r>
        <w:rPr>
          <w:lang w:eastAsia="fr-FR"/>
        </w:rPr>
        <w:tab/>
      </w:r>
    </w:p>
    <w:p w:rsidR="00F6628D" w:rsidRDefault="00F6628D" w:rsidP="00F6628D">
      <w:pPr>
        <w:rPr>
          <w:lang w:eastAsia="fr-FR"/>
        </w:rPr>
      </w:pPr>
      <w:r>
        <w:rPr>
          <w:lang w:eastAsia="fr-FR"/>
        </w:rPr>
        <w:t>Mois d'établissement des prix :</w:t>
      </w:r>
      <w:r>
        <w:rPr>
          <w:lang w:eastAsia="fr-FR"/>
        </w:rPr>
        <w:tab/>
      </w:r>
    </w:p>
    <w:p w:rsidR="00F6628D" w:rsidRDefault="00FC685A" w:rsidP="00F6628D">
      <w:pPr>
        <w:pStyle w:val="ANXNIV1"/>
      </w:pPr>
      <w:r>
        <w:t>AVANCE, SI ELLE EST PREVUE AU MARCHE</w:t>
      </w:r>
      <w:r w:rsidR="00F6628D">
        <w:t xml:space="preserve"> :</w:t>
      </w:r>
    </w:p>
    <w:p w:rsidR="00F6628D" w:rsidRDefault="00F6628D" w:rsidP="00F6628D">
      <w:pPr>
        <w:rPr>
          <w:lang w:eastAsia="fr-FR"/>
        </w:rPr>
      </w:pPr>
      <w:r>
        <w:rPr>
          <w:rFonts w:ascii="Segoe UI Symbol" w:hAnsi="Segoe UI Symbol" w:cs="Segoe UI Symbol"/>
          <w:lang w:eastAsia="fr-FR"/>
        </w:rPr>
        <w:t>☐</w:t>
      </w:r>
      <w:r>
        <w:rPr>
          <w:lang w:eastAsia="fr-FR"/>
        </w:rPr>
        <w:t xml:space="preserve"> </w:t>
      </w:r>
      <w:r w:rsidR="00FC685A">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F6628D" w:rsidRDefault="00F6628D" w:rsidP="00F6628D">
      <w:pPr>
        <w:rPr>
          <w:lang w:eastAsia="fr-FR"/>
        </w:rPr>
      </w:pPr>
      <w:r>
        <w:rPr>
          <w:lang w:eastAsia="fr-FR"/>
        </w:rPr>
        <w:t>Une seule des deux cases doit être cochée.</w:t>
      </w:r>
    </w:p>
    <w:p w:rsidR="00F6628D" w:rsidRDefault="00F6628D" w:rsidP="00F6628D">
      <w:pPr>
        <w:rPr>
          <w:lang w:eastAsia="fr-FR"/>
        </w:rPr>
      </w:pPr>
      <w:r>
        <w:rPr>
          <w:lang w:eastAsia="fr-FR"/>
        </w:rPr>
        <w:t xml:space="preserve">L’avance est réputée </w:t>
      </w:r>
      <w:r w:rsidR="00FC685A">
        <w:rPr>
          <w:lang w:eastAsia="fr-FR"/>
        </w:rPr>
        <w:t>être demandée au % maxi</w:t>
      </w:r>
      <w:r>
        <w:rPr>
          <w:lang w:eastAsia="fr-FR"/>
        </w:rPr>
        <w:t xml:space="preserve"> si aucune case n’est cochée.</w:t>
      </w:r>
    </w:p>
    <w:p w:rsidR="00F6628D" w:rsidRDefault="00F6628D" w:rsidP="00F6628D">
      <w:pPr>
        <w:pStyle w:val="ANXNIV1"/>
      </w:pPr>
      <w:r>
        <w:t>DECLARATION</w:t>
      </w:r>
    </w:p>
    <w:p w:rsidR="00F6628D" w:rsidRDefault="00F6628D" w:rsidP="00F6628D">
      <w:pPr>
        <w:rPr>
          <w:lang w:eastAsia="fr-FR"/>
        </w:rPr>
      </w:pPr>
      <w:r>
        <w:rPr>
          <w:lang w:eastAsia="fr-FR"/>
        </w:rPr>
        <w:t xml:space="preserve">Sous peine de retrait de plein droit de la présente acceptation de sous-traitance, l'entreprise sous-traitante atteste ne pas tomber sous le coup </w:t>
      </w:r>
      <w:r>
        <w:t>des exclusions et interdictions découlant de l'article 14-3 de la délibération n° 424 du 20 mars 2019 modifiée</w:t>
      </w:r>
      <w:r>
        <w:rPr>
          <w:lang w:eastAsia="fr-FR"/>
        </w:rPr>
        <w:t>.</w:t>
      </w:r>
    </w:p>
    <w:p w:rsidR="00F6628D" w:rsidRDefault="00F6628D" w:rsidP="00F6628D">
      <w:pPr>
        <w:rPr>
          <w:lang w:eastAsia="fr-FR"/>
        </w:rPr>
      </w:pPr>
      <w:r>
        <w:rPr>
          <w:lang w:eastAsia="fr-FR"/>
        </w:rPr>
        <w:t>Fait en un seul original, à ………………………</w:t>
      </w:r>
      <w:proofErr w:type="gramStart"/>
      <w:r>
        <w:rPr>
          <w:lang w:eastAsia="fr-FR"/>
        </w:rPr>
        <w:t>… ,</w:t>
      </w:r>
      <w:proofErr w:type="gramEnd"/>
      <w:r>
        <w:rPr>
          <w:lang w:eastAsia="fr-FR"/>
        </w:rPr>
        <w:t xml:space="preserve"> le ………………………….</w:t>
      </w:r>
    </w:p>
    <w:p w:rsidR="00F6628D" w:rsidRDefault="00F6628D" w:rsidP="00F6628D">
      <w:pPr>
        <w:rPr>
          <w:lang w:eastAsia="fr-FR"/>
        </w:rPr>
      </w:pPr>
    </w:p>
    <w:p w:rsidR="00F6628D" w:rsidRDefault="00F6628D" w:rsidP="00F6628D">
      <w:pPr>
        <w:rPr>
          <w:lang w:eastAsia="fr-FR"/>
        </w:rPr>
      </w:pPr>
      <w:r>
        <w:rPr>
          <w:lang w:eastAsia="fr-FR"/>
        </w:rPr>
        <w:lastRenderedPageBreak/>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(1)</w:t>
      </w:r>
    </w:p>
    <w:p w:rsidR="00F6628D" w:rsidRDefault="00F6628D" w:rsidP="00F6628D">
      <w:pPr>
        <w:rPr>
          <w:lang w:eastAsia="fr-FR"/>
        </w:rPr>
      </w:pPr>
    </w:p>
    <w:p w:rsidR="00F6628D" w:rsidRDefault="00F6628D" w:rsidP="00F6628D">
      <w:pPr>
        <w:rPr>
          <w:lang w:eastAsia="fr-FR"/>
        </w:rPr>
      </w:pPr>
      <w:r>
        <w:rPr>
          <w:lang w:eastAsia="fr-FR"/>
        </w:rPr>
        <w:t xml:space="preserve">(**) En cas de marché passé avec un groupement d’entreprises avec mandataire solidaire. </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1 –</w:t>
      </w:r>
      <w:r>
        <w:rPr>
          <w:lang w:eastAsia="fr-FR"/>
        </w:rPr>
        <w:t xml:space="preserve"> Extrait K-bis datant de moins de 3 mois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2 –</w:t>
      </w:r>
      <w:r>
        <w:rPr>
          <w:lang w:eastAsia="fr-FR"/>
        </w:rPr>
        <w:t xml:space="preserve"> Références concernant les prestations sous-traitées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3 –</w:t>
      </w:r>
      <w:r>
        <w:rPr>
          <w:lang w:eastAsia="fr-FR"/>
        </w:rPr>
        <w:t xml:space="preserve"> Trois certificats de situation fiscale (payeur, impôts, douanes)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4 –</w:t>
      </w:r>
      <w:r>
        <w:rPr>
          <w:lang w:eastAsia="fr-FR"/>
        </w:rPr>
        <w:t xml:space="preserve"> Attestation CAFAT / RUAMM (la dernière exigible)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5 –</w:t>
      </w:r>
      <w:r>
        <w:rPr>
          <w:lang w:eastAsia="fr-FR"/>
        </w:rPr>
        <w:t xml:space="preserve"> Attestation d'assurance en cours de validité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6 –</w:t>
      </w:r>
      <w:r>
        <w:rPr>
          <w:lang w:eastAsia="fr-FR"/>
        </w:rPr>
        <w:t xml:space="preserve"> Relevé d’identité bancaire – pour le sous-traitant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7 –</w:t>
      </w:r>
      <w:r>
        <w:rPr>
          <w:lang w:eastAsia="fr-FR"/>
        </w:rPr>
        <w:t xml:space="preserve"> Exemplaire unique du marché ou du dernier avenant, destiné à la cession ou au nantissement, délivré antérieurement</w:t>
      </w:r>
      <w:r>
        <w:rPr>
          <w:b/>
          <w:lang w:eastAsia="fr-FR"/>
        </w:rPr>
        <w:t xml:space="preserve"> au titulaire</w:t>
      </w:r>
      <w:r>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8 –</w:t>
      </w:r>
      <w:r>
        <w:rPr>
          <w:lang w:eastAsia="fr-FR"/>
        </w:rPr>
        <w:t xml:space="preserve"> (En cas d’acte spécial modificatif) Exemplaire unique du marché, de l’acte spécial ou de l’avenant, destiné à la cession ou au nantissement, délivré antérieurement </w:t>
      </w:r>
      <w:r>
        <w:rPr>
          <w:b/>
          <w:lang w:eastAsia="fr-FR"/>
        </w:rPr>
        <w:t>au sous-traitant</w:t>
      </w:r>
      <w:r>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Pr>
          <w:b/>
          <w:lang w:eastAsia="fr-FR"/>
        </w:rPr>
        <w:t>sous-traitance de rang 2</w:t>
      </w:r>
      <w:r>
        <w:rPr>
          <w:lang w:eastAsia="fr-FR"/>
        </w:rPr>
        <w:t>, mêmes documents à produire avec un acte spécial modificatif rang 2.</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TITULAIRE</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t>- le nouvel exemplaire unique du marché ou du dernier avenant revêtu de la mention prévue à l’article 97 de la délibération n° 424 du 20 mars 2019.</w:t>
      </w:r>
    </w:p>
    <w:p w:rsidR="00F6628D" w:rsidRDefault="00F6628D" w:rsidP="00F6628D">
      <w:pPr>
        <w:rPr>
          <w:lang w:eastAsia="fr-FR"/>
        </w:rPr>
      </w:pPr>
      <w:r>
        <w:rPr>
          <w:lang w:eastAsia="fr-FR"/>
        </w:rPr>
        <w:lastRenderedPageBreak/>
        <w:t>Date : …………………….</w:t>
      </w:r>
    </w:p>
    <w:p w:rsidR="00F6628D" w:rsidRDefault="00F6628D" w:rsidP="00F6628D">
      <w:pPr>
        <w:rPr>
          <w:lang w:eastAsia="fr-FR"/>
        </w:rPr>
      </w:pPr>
      <w:r>
        <w:rPr>
          <w:lang w:eastAsia="fr-FR"/>
        </w:rPr>
        <w:t>- Signature suivie du nom du signataire habilité à représenter l’entreprise titulaire</w:t>
      </w:r>
    </w:p>
    <w:p w:rsidR="00F6628D" w:rsidRDefault="00F6628D" w:rsidP="00F6628D">
      <w:pPr>
        <w:rPr>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58752" behindDoc="0" locked="0" layoutInCell="1" allowOverlap="1" wp14:anchorId="6CEB6EB4" wp14:editId="1F02DF1C">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1C5FBB" w:rsidRDefault="001C5FBB" w:rsidP="00F6628D">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42.6pt;margin-top:27.2pt;width:444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NciPQx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1C5FBB" w:rsidRDefault="001C5FBB" w:rsidP="00F6628D">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Nota : copie de cet acte spécial en exemplaire unique destiné à la cession ou au nantissement, revêtu de la mention prévue à l’article 97 de la délibération n° 424 du 20/03/19 sera délivrée par le maître d’ouvrage au sous-traitant à sa demande.</w:t>
      </w:r>
    </w:p>
    <w:p w:rsidR="00F6628D" w:rsidRDefault="00F6628D" w:rsidP="00F6628D">
      <w:pPr>
        <w:overflowPunct/>
        <w:autoSpaceDE/>
        <w:autoSpaceDN/>
        <w:adjustRightInd/>
        <w:spacing w:before="0" w:after="0"/>
        <w:ind w:left="0"/>
        <w:jc w:val="left"/>
        <w:sectPr w:rsidR="00F6628D">
          <w:footerReference w:type="default" r:id="rId17"/>
          <w:pgSz w:w="11906" w:h="16838"/>
          <w:pgMar w:top="851" w:right="991" w:bottom="1135" w:left="993" w:header="284" w:footer="266" w:gutter="0"/>
          <w:pgNumType w:start="1"/>
          <w:cols w:space="720"/>
        </w:sectPr>
      </w:pPr>
    </w:p>
    <w:p w:rsidR="00F6628D" w:rsidRDefault="00F6628D" w:rsidP="00F6628D">
      <w:pPr>
        <w:pStyle w:val="0ENTETE"/>
      </w:pPr>
      <w:bookmarkStart w:id="198" w:name="_Toc58942322"/>
      <w:bookmarkStart w:id="199" w:name="_Toc64622271"/>
      <w:r>
        <w:lastRenderedPageBreak/>
        <w:t xml:space="preserve">ANNEXE </w:t>
      </w:r>
      <w:r w:rsidR="003A3C4E">
        <w:t>3</w:t>
      </w:r>
      <w:r>
        <w:t> AU CCAP : MODELE D’ACTE SPECIAL DE SOUS-TRAITANCE DE SECOND RANG</w:t>
      </w:r>
      <w:bookmarkEnd w:id="198"/>
      <w:bookmarkEnd w:id="199"/>
    </w:p>
    <w:p w:rsidR="00F6628D" w:rsidRDefault="00F6628D" w:rsidP="00F6628D">
      <w:pPr>
        <w:overflowPunct/>
        <w:autoSpaceDE/>
        <w:autoSpaceDN/>
        <w:adjustRightInd/>
        <w:spacing w:before="0" w:after="0"/>
        <w:ind w:left="0"/>
        <w:jc w:val="left"/>
        <w:sectPr w:rsidR="00F6628D" w:rsidSect="00BB6A66">
          <w:footerReference w:type="default" r:id="rId18"/>
          <w:pgSz w:w="11906" w:h="16838"/>
          <w:pgMar w:top="709" w:right="991" w:bottom="709" w:left="993" w:header="284" w:footer="266" w:gutter="0"/>
          <w:pgNumType w:start="1"/>
          <w:cols w:space="720"/>
        </w:sectPr>
      </w:pPr>
    </w:p>
    <w:p w:rsidR="00F6628D" w:rsidRDefault="00F6628D" w:rsidP="00F6628D">
      <w:pPr>
        <w:pStyle w:val="ANXNIV0"/>
        <w:rPr>
          <w:lang w:eastAsia="fr-FR"/>
        </w:rPr>
      </w:pPr>
      <w:r>
        <w:rPr>
          <w:lang w:eastAsia="fr-FR"/>
        </w:rPr>
        <w:lastRenderedPageBreak/>
        <w:t>ACTE SPECIAL N ° ………………….. PORTANT ACCEPTATION D'UN SOUS-TRAITANT DE SECOND RANG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lang w:eastAsia="fr-FR"/>
        </w:rPr>
        <w:t xml:space="preserve">constitue un </w:t>
      </w:r>
      <w:r>
        <w:rPr>
          <w:b/>
          <w:lang w:eastAsia="fr-FR"/>
        </w:rPr>
        <w:t>acte spécial</w:t>
      </w:r>
      <w:r>
        <w:rPr>
          <w:lang w:eastAsia="fr-FR"/>
        </w:rPr>
        <w:t xml:space="preserve"> portant acceptation du sous-traitant de second rang et agrément de ses conditions de paiement.</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lang w:eastAsia="fr-FR"/>
        </w:rPr>
        <w:t xml:space="preserve">constitue un </w:t>
      </w:r>
      <w:r>
        <w:rPr>
          <w:b/>
          <w:lang w:eastAsia="fr-FR"/>
        </w:rPr>
        <w:t>acte spécial modificatif</w:t>
      </w:r>
      <w:r>
        <w:rPr>
          <w:lang w:eastAsia="fr-FR"/>
        </w:rPr>
        <w:t>, annulant et remplaçant :</w:t>
      </w:r>
    </w:p>
    <w:p w:rsidR="00F6628D" w:rsidRDefault="00F6628D" w:rsidP="00F6628D">
      <w:pPr>
        <w:rPr>
          <w:lang w:eastAsia="fr-FR"/>
        </w:rPr>
      </w:pPr>
      <w:proofErr w:type="gramStart"/>
      <w:r>
        <w:rPr>
          <w:lang w:eastAsia="fr-FR"/>
        </w:rPr>
        <w:t>l’annexe</w:t>
      </w:r>
      <w:proofErr w:type="gramEnd"/>
      <w:r>
        <w:rPr>
          <w:lang w:eastAsia="fr-FR"/>
        </w:rPr>
        <w:t xml:space="preserve"> n° ….  </w:t>
      </w:r>
      <w:proofErr w:type="gramStart"/>
      <w:r>
        <w:rPr>
          <w:lang w:eastAsia="fr-FR"/>
        </w:rPr>
        <w:t>de</w:t>
      </w:r>
      <w:proofErr w:type="gramEnd"/>
      <w:r>
        <w:rPr>
          <w:lang w:eastAsia="fr-FR"/>
        </w:rPr>
        <w:t xml:space="preserv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8992" behindDoc="0" locked="0" layoutInCell="1" allowOverlap="1" wp14:anchorId="4C36086B" wp14:editId="4FEDC324">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1C5FBB" w:rsidRDefault="001C5FBB" w:rsidP="00F6628D">
                            <w:pPr>
                              <w:ind w:left="0"/>
                            </w:pPr>
                            <w:r>
                              <w:t>Espace réservé à la mention prévue à l’article 97 de la délibération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2.6pt;margin-top:25.65pt;width:453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" filled="f" strokecolor="#bfbfbf" strokeweight=".25pt">
                <v:stroke dashstyle="dash"/>
                <v:textbox inset="1mm,.5mm,1mm,1mm">
                  <w:txbxContent>
                    <w:p w:rsidR="001C5FBB" w:rsidRDefault="001C5FBB" w:rsidP="00F6628D">
                      <w:pPr>
                        <w:ind w:left="0"/>
                      </w:pPr>
                      <w:r>
                        <w:t>Espace réservé à la mention prévue à l’article 97 de la délibération 424 du 20 mars 2019</w:t>
                      </w:r>
                    </w:p>
                  </w:txbxContent>
                </v:textbox>
                <w10:wrap type="topAndBottom"/>
              </v:rect>
            </w:pict>
          </mc:Fallback>
        </mc:AlternateContent>
      </w:r>
      <w:proofErr w:type="gramStart"/>
      <w:r>
        <w:rPr>
          <w:lang w:eastAsia="fr-FR"/>
        </w:rPr>
        <w:t>l’acte</w:t>
      </w:r>
      <w:proofErr w:type="gramEnd"/>
      <w:r>
        <w:rPr>
          <w:lang w:eastAsia="fr-FR"/>
        </w:rPr>
        <w:t xml:space="preserve"> spécial précédent n° …….    notifié le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w:t>
      </w:r>
      <w:r>
        <w:rPr>
          <w:lang w:eastAsia="fr-FR"/>
        </w:rPr>
        <w:tab/>
      </w:r>
    </w:p>
    <w:p w:rsidR="00F6628D" w:rsidRDefault="00F6628D" w:rsidP="00F6628D">
      <w:pPr>
        <w:rPr>
          <w:lang w:eastAsia="fr-FR"/>
        </w:rPr>
      </w:pPr>
      <w:r>
        <w:rPr>
          <w:lang w:eastAsia="fr-FR"/>
        </w:rPr>
        <w:t>Lot</w:t>
      </w:r>
      <w:r>
        <w:rPr>
          <w:lang w:eastAsia="fr-FR"/>
        </w:rPr>
        <w:tab/>
      </w:r>
      <w:r>
        <w:rPr>
          <w:lang w:eastAsia="fr-FR"/>
        </w:rPr>
        <w:tab/>
        <w:t>Titulaire/Mandataire</w:t>
      </w:r>
      <w:r>
        <w:rPr>
          <w:lang w:eastAsia="fr-FR"/>
        </w:rPr>
        <w:tab/>
      </w:r>
    </w:p>
    <w:p w:rsidR="00F6628D" w:rsidRDefault="00F6628D" w:rsidP="00F6628D">
      <w:pPr>
        <w:rPr>
          <w:lang w:eastAsia="fr-FR"/>
        </w:rPr>
      </w:pPr>
      <w:r>
        <w:rPr>
          <w:lang w:eastAsia="fr-FR"/>
        </w:rPr>
        <w:t>Sous-traitant direct (rang 1) :</w:t>
      </w:r>
    </w:p>
    <w:p w:rsidR="00F6628D" w:rsidRDefault="00F6628D" w:rsidP="00F6628D">
      <w:pPr>
        <w:pStyle w:val="ANXNIV1"/>
      </w:pPr>
      <w:r>
        <w:t>SOUS-TRAITANT DE SECOND RANG (rang 2) :</w:t>
      </w:r>
      <w:r>
        <w:tab/>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ou société, etc…):</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lastRenderedPageBreak/>
        <w:t>Le sous-traitant de second rang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color w:val="000000"/>
          <w:lang w:eastAsia="fr-FR"/>
        </w:rPr>
      </w:pPr>
      <w:r>
        <w:rPr>
          <w:color w:val="000000"/>
          <w:lang w:eastAsia="fr-FR"/>
        </w:rPr>
        <w:t xml:space="preserve"> Nature précise :</w:t>
      </w:r>
      <w:r>
        <w:rPr>
          <w:color w:val="000000"/>
          <w:lang w:eastAsia="fr-FR"/>
        </w:rPr>
        <w:tab/>
      </w:r>
    </w:p>
    <w:p w:rsidR="00F6628D" w:rsidRDefault="00F6628D" w:rsidP="00F6628D">
      <w:pPr>
        <w:rPr>
          <w:color w:val="000000"/>
          <w:lang w:eastAsia="fr-FR"/>
        </w:rPr>
      </w:pPr>
    </w:p>
    <w:p w:rsidR="00F6628D" w:rsidRDefault="00F6628D" w:rsidP="00F6628D">
      <w:pPr>
        <w:rPr>
          <w:color w:val="000000"/>
          <w:lang w:eastAsia="fr-FR"/>
        </w:rPr>
      </w:pPr>
      <w:r>
        <w:rPr>
          <w:color w:val="000000"/>
          <w:lang w:eastAsia="fr-FR"/>
        </w:rPr>
        <w:t>Montant sous-traité HT :</w:t>
      </w:r>
      <w:r w:rsidR="00C1553F">
        <w:rPr>
          <w:color w:val="000000"/>
          <w:lang w:eastAsia="fr-FR"/>
        </w:rPr>
        <w:t xml:space="preserve"> ________________</w:t>
      </w:r>
      <w:r>
        <w:rPr>
          <w:color w:val="000000"/>
          <w:lang w:eastAsia="fr-FR"/>
        </w:rPr>
        <w:t xml:space="preserve"> </w:t>
      </w:r>
    </w:p>
    <w:p w:rsidR="00F6628D" w:rsidRDefault="00F6628D" w:rsidP="00F6628D">
      <w:pPr>
        <w:rPr>
          <w:color w:val="000000"/>
          <w:lang w:eastAsia="fr-FR"/>
        </w:rPr>
      </w:pPr>
      <w:r>
        <w:rPr>
          <w:color w:val="000000"/>
          <w:lang w:eastAsia="fr-FR"/>
        </w:rPr>
        <w:t>Taux des taxes (cf. contrat de sous-traitance) :</w:t>
      </w:r>
      <w:r w:rsidR="00C1553F">
        <w:rPr>
          <w:color w:val="000000"/>
          <w:lang w:eastAsia="fr-FR"/>
        </w:rPr>
        <w:t xml:space="preserve"> _________________</w:t>
      </w:r>
      <w:r>
        <w:rPr>
          <w:color w:val="000000"/>
          <w:lang w:eastAsia="fr-FR"/>
        </w:rPr>
        <w:t xml:space="preserve"> </w:t>
      </w:r>
    </w:p>
    <w:p w:rsidR="00F6628D" w:rsidRDefault="00F6628D" w:rsidP="00F6628D">
      <w:pPr>
        <w:rPr>
          <w:color w:val="000000"/>
          <w:lang w:eastAsia="fr-FR"/>
        </w:rPr>
      </w:pPr>
      <w:r>
        <w:rPr>
          <w:color w:val="000000"/>
          <w:lang w:eastAsia="fr-FR"/>
        </w:rPr>
        <w:t>Montant sous-traité TTC :</w:t>
      </w:r>
      <w:r w:rsidR="00C1553F">
        <w:rPr>
          <w:color w:val="000000"/>
          <w:lang w:eastAsia="fr-FR"/>
        </w:rPr>
        <w:t xml:space="preserve"> _____________________</w:t>
      </w:r>
      <w:r>
        <w:rPr>
          <w:color w:val="000000"/>
          <w:lang w:eastAsia="fr-FR"/>
        </w:rPr>
        <w:t xml:space="preserve"> </w:t>
      </w:r>
    </w:p>
    <w:p w:rsidR="00B66158" w:rsidRDefault="00B66158" w:rsidP="00B66158">
      <w:pPr>
        <w:pStyle w:val="ANXNIV1"/>
      </w:pPr>
      <w:r>
        <w:t>CONDITIONS DE PAIEMENT DU CONTRAT DE SOUS-TRAITANCE :</w:t>
      </w:r>
    </w:p>
    <w:p w:rsidR="00F2448C" w:rsidRDefault="00F2448C" w:rsidP="00F2448C">
      <w:r>
        <w:t>Paiement direct du sous-traitant de rang 2 par l’acheteur public (choisir l’option 1 ou 2 – à défaut c’est l’option 1 qui s’applique) :</w:t>
      </w:r>
    </w:p>
    <w:sdt>
      <w:sdtPr>
        <w:id w:val="-647369202"/>
      </w:sdtPr>
      <w:sdtContent>
        <w:p w:rsidR="00F2448C" w:rsidRDefault="00F2448C" w:rsidP="00F2448C">
          <w:pPr>
            <w:pStyle w:val="ListeX"/>
            <w:ind w:left="1985" w:hanging="644"/>
          </w:pPr>
          <w:sdt>
            <w:sdtPr>
              <w:id w:val="1934390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 Quel que soit le montant sous-traité.</w:t>
          </w:r>
        </w:p>
      </w:sdtContent>
    </w:sdt>
    <w:sdt>
      <w:sdtPr>
        <w:id w:val="1903562284"/>
      </w:sdtPr>
      <w:sdtContent>
        <w:p w:rsidR="00F2448C" w:rsidRDefault="00F2448C" w:rsidP="00F2448C">
          <w:pPr>
            <w:pStyle w:val="ListeX"/>
            <w:ind w:left="1985" w:hanging="644"/>
          </w:pPr>
          <w:sdt>
            <w:sdtPr>
              <w:id w:val="109059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 Uniquement lorsque le montant sous-traité est supérieur à 500.000 F HT.</w:t>
          </w:r>
        </w:p>
      </w:sdtContent>
    </w:sdt>
    <w:p w:rsidR="00B66158" w:rsidRDefault="00F2448C" w:rsidP="00F2448C">
      <w:pPr>
        <w:pStyle w:val="ANXNIV1"/>
      </w:pPr>
      <w:r>
        <w:t xml:space="preserve"> </w:t>
      </w:r>
      <w:bookmarkStart w:id="200" w:name="_GoBack"/>
      <w:bookmarkEnd w:id="200"/>
      <w:r w:rsidR="00B66158">
        <w:t>COMPTE A CREDITER :</w:t>
      </w:r>
    </w:p>
    <w:p w:rsidR="00F6628D" w:rsidRDefault="00F6628D" w:rsidP="00F6628D">
      <w:r>
        <w:t>NOM :</w:t>
      </w:r>
      <w:r>
        <w:tab/>
      </w:r>
    </w:p>
    <w:p w:rsidR="00F6628D" w:rsidRDefault="00F6628D" w:rsidP="00F6628D">
      <w:r>
        <w:t>BANQUE :</w:t>
      </w:r>
      <w:r>
        <w:tab/>
      </w:r>
    </w:p>
    <w:p w:rsidR="00F6628D" w:rsidRDefault="00F6628D" w:rsidP="00F6628D">
      <w:r>
        <w:t>N° DE COMPTE (23 chiffres) :</w:t>
      </w:r>
    </w:p>
    <w:p w:rsidR="00F6628D" w:rsidRDefault="00F6628D" w:rsidP="00F6628D">
      <w:r>
        <w:t>|__|__|__|__|__| |__|__|__|__|__| |__|__|__|__|__|__|__|__|__|__|__| |__|__|</w:t>
      </w:r>
    </w:p>
    <w:p w:rsidR="00F6628D" w:rsidRDefault="00F6628D" w:rsidP="00F6628D">
      <w:pPr>
        <w:pStyle w:val="ANXNIV1"/>
      </w:pPr>
      <w:r>
        <w:t>VARIATION DES PRIX :</w:t>
      </w:r>
      <w:r>
        <w:tab/>
      </w:r>
    </w:p>
    <w:p w:rsidR="00F6628D" w:rsidRDefault="00F6628D" w:rsidP="00F6628D">
      <w:r>
        <w:t>Modalités de variation des prix :</w:t>
      </w:r>
      <w:r>
        <w:tab/>
      </w:r>
    </w:p>
    <w:p w:rsidR="00F6628D" w:rsidRDefault="00F6628D" w:rsidP="00F6628D">
      <w:r>
        <w:t>Mois d'établissement des prix :</w:t>
      </w:r>
      <w:r>
        <w:tab/>
      </w:r>
    </w:p>
    <w:p w:rsidR="00787865" w:rsidRDefault="00787865" w:rsidP="00787865">
      <w:pPr>
        <w:pStyle w:val="ANXNIV1"/>
      </w:pPr>
      <w:r>
        <w:t>DECLARATION</w:t>
      </w:r>
    </w:p>
    <w:p w:rsidR="00F6628D" w:rsidRDefault="00F6628D" w:rsidP="00F6628D">
      <w:pPr>
        <w:rPr>
          <w:lang w:eastAsia="fr-FR"/>
        </w:rPr>
      </w:pPr>
      <w:r>
        <w:rPr>
          <w:lang w:eastAsia="fr-FR"/>
        </w:rPr>
        <w:t xml:space="preserve">Sous peine de retrait de plein droit de la présente acceptation, l'entreprise sous-traitante de rang 2 atteste ne pas tomber sous le coup des exclusions et interdictions découlant de l'article 14-3 de la </w:t>
      </w:r>
      <w:proofErr w:type="spellStart"/>
      <w:r>
        <w:rPr>
          <w:lang w:eastAsia="fr-FR"/>
        </w:rPr>
        <w:t>délib</w:t>
      </w:r>
      <w:proofErr w:type="spellEnd"/>
      <w:r>
        <w:rPr>
          <w:lang w:eastAsia="fr-FR"/>
        </w:rPr>
        <w:t xml:space="preserve">. </w:t>
      </w:r>
      <w:proofErr w:type="gramStart"/>
      <w:r>
        <w:rPr>
          <w:lang w:eastAsia="fr-FR"/>
        </w:rPr>
        <w:t>n</w:t>
      </w:r>
      <w:proofErr w:type="gramEnd"/>
      <w:r>
        <w:rPr>
          <w:lang w:eastAsia="fr-FR"/>
        </w:rPr>
        <w:t>° 424 du 20/3/19.</w:t>
      </w:r>
    </w:p>
    <w:p w:rsidR="00F6628D" w:rsidRDefault="00F6628D" w:rsidP="00F6628D">
      <w:pPr>
        <w:rPr>
          <w:lang w:eastAsia="fr-FR"/>
        </w:rPr>
      </w:pPr>
    </w:p>
    <w:p w:rsidR="00F6628D" w:rsidRDefault="00F6628D" w:rsidP="00F6628D">
      <w:pPr>
        <w:rPr>
          <w:lang w:eastAsia="fr-FR"/>
        </w:rPr>
      </w:pPr>
      <w:r>
        <w:rPr>
          <w:lang w:eastAsia="fr-FR"/>
        </w:rPr>
        <w:t>Fait en un seul original, à ………………………</w:t>
      </w:r>
      <w:proofErr w:type="gramStart"/>
      <w:r>
        <w:rPr>
          <w:lang w:eastAsia="fr-FR"/>
        </w:rPr>
        <w:t>… ,</w:t>
      </w:r>
      <w:proofErr w:type="gramEnd"/>
      <w:r>
        <w:rPr>
          <w:lang w:eastAsia="fr-FR"/>
        </w:rPr>
        <w:t xml:space="preserve"> le ………………………….</w:t>
      </w:r>
    </w:p>
    <w:p w:rsidR="00F6628D" w:rsidRDefault="00F6628D" w:rsidP="00F6628D">
      <w:pPr>
        <w:rPr>
          <w:lang w:eastAsia="fr-FR"/>
        </w:rPr>
      </w:pPr>
    </w:p>
    <w:p w:rsidR="00F6628D" w:rsidRDefault="00F6628D" w:rsidP="00F6628D">
      <w:pPr>
        <w:rPr>
          <w:lang w:eastAsia="fr-FR"/>
        </w:rPr>
      </w:pPr>
      <w:r>
        <w:rPr>
          <w:lang w:eastAsia="fr-FR"/>
        </w:rPr>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1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2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 xml:space="preserve">(**) En cas de marché passé avec un groupement d’entreprises avec mandataire solidaire. </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1 –</w:t>
      </w:r>
      <w:r>
        <w:rPr>
          <w:lang w:eastAsia="fr-FR"/>
        </w:rPr>
        <w:t xml:space="preserve"> Extrait K-bis datant de moins de 3 mois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2 –</w:t>
      </w:r>
      <w:r>
        <w:rPr>
          <w:lang w:eastAsia="fr-FR"/>
        </w:rPr>
        <w:t xml:space="preserve"> Références concernant les prestations sous-traitées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3 –</w:t>
      </w:r>
      <w:r>
        <w:rPr>
          <w:lang w:eastAsia="fr-FR"/>
        </w:rPr>
        <w:t xml:space="preserve"> Trois certificats de situation fiscale (payeur, impôts, douanes)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4 –</w:t>
      </w:r>
      <w:r>
        <w:rPr>
          <w:lang w:eastAsia="fr-FR"/>
        </w:rPr>
        <w:t xml:space="preserve"> Attestation CAFAT / RUAMM (la dernière exigible)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5 –</w:t>
      </w:r>
      <w:r>
        <w:rPr>
          <w:lang w:eastAsia="fr-FR"/>
        </w:rPr>
        <w:t xml:space="preserve"> Attestation d'assurance en cours de validité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6 –</w:t>
      </w:r>
      <w:r>
        <w:rPr>
          <w:lang w:eastAsia="fr-FR"/>
        </w:rPr>
        <w:t xml:space="preserve"> Relevé d’identité bancaire – pour le sous-traitant de rang 2</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7 –</w:t>
      </w:r>
      <w:r>
        <w:rPr>
          <w:lang w:eastAsia="fr-FR"/>
        </w:rPr>
        <w:t xml:space="preserve"> Exemplaire unique du marché, de l’acte spécial ou de l’avenant, destiné à la cession ou au nantissement, délivré antérieurement</w:t>
      </w:r>
      <w:r>
        <w:rPr>
          <w:b/>
          <w:lang w:eastAsia="fr-FR"/>
        </w:rPr>
        <w:t xml:space="preserve"> au sous-traitant de rang 1</w:t>
      </w:r>
      <w:r>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B66158" w:rsidRDefault="00B66158" w:rsidP="00B66158">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Pr>
          <w:b/>
          <w:lang w:eastAsia="fr-FR"/>
        </w:rPr>
        <w:t>8 –</w:t>
      </w:r>
      <w:r>
        <w:rPr>
          <w:lang w:eastAsia="fr-FR"/>
        </w:rPr>
        <w:t xml:space="preserve"> (En cas d’acte spécial modificatif) Exemplaire unique de l’acte spécial ou de l’avenant, destiné à la cession ou au nantissement, délivré antérieurement </w:t>
      </w:r>
      <w:r>
        <w:rPr>
          <w:b/>
          <w:lang w:eastAsia="fr-FR"/>
        </w:rPr>
        <w:t>au sous-traitant de rang 2</w:t>
      </w:r>
      <w:r>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DE RANG 2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SOUS-TRAITANT DE RANG 1</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lastRenderedPageBreak/>
        <w:t>- le nouvel exemplaire unique du marché, de l’acte spécial ou du dernier avenant revêtu de la mention prévue à l’article 97 de la délibération n° 424 du 20 mars 2019.</w:t>
      </w:r>
    </w:p>
    <w:p w:rsidR="00F6628D" w:rsidRDefault="00F6628D" w:rsidP="00F6628D">
      <w:pPr>
        <w:rPr>
          <w:lang w:eastAsia="fr-FR"/>
        </w:rPr>
      </w:pPr>
      <w:r>
        <w:rPr>
          <w:lang w:eastAsia="fr-FR"/>
        </w:rPr>
        <w:t>Date : …………………….</w:t>
      </w:r>
    </w:p>
    <w:p w:rsidR="00F6628D" w:rsidRDefault="00F6628D" w:rsidP="00F6628D">
      <w:pPr>
        <w:rPr>
          <w:lang w:eastAsia="fr-FR"/>
        </w:rPr>
      </w:pPr>
      <w:r>
        <w:rPr>
          <w:lang w:eastAsia="fr-FR"/>
        </w:rPr>
        <w:t>- Signature suivie du nom du signataire habilité à représenter l’entreprise sous-traitante de rang 1</w:t>
      </w: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71040" behindDoc="0" locked="0" layoutInCell="1" allowOverlap="1" wp14:anchorId="6F6426D9" wp14:editId="70334CD0">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1C5FBB" w:rsidRDefault="001C5FBB" w:rsidP="00F6628D">
                            <w:pPr>
                              <w:ind w:left="0"/>
                            </w:pPr>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33.6pt;margin-top:18.95pt;width:466.5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LRaOZl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1C5FBB" w:rsidRDefault="001C5FBB" w:rsidP="00F6628D">
                      <w:pPr>
                        <w:ind w:left="0"/>
                      </w:pPr>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 xml:space="preserve">Nota : copie de cet acte spécial en exemplaire unique destiné à la cession ou au nantissement, revêtu de la mention prévue à l’article 97 de la </w:t>
      </w:r>
      <w:proofErr w:type="spellStart"/>
      <w:r>
        <w:rPr>
          <w:lang w:eastAsia="fr-FR"/>
        </w:rPr>
        <w:t>délib</w:t>
      </w:r>
      <w:proofErr w:type="spellEnd"/>
      <w:r>
        <w:rPr>
          <w:lang w:eastAsia="fr-FR"/>
        </w:rPr>
        <w:t>. 424 du 20/03/19 sera délivrée au sous-traitant de rang 2 à sa demande.</w:t>
      </w:r>
    </w:p>
    <w:p w:rsidR="00F6628D" w:rsidRDefault="00F6628D" w:rsidP="00F6628D">
      <w:pPr>
        <w:overflowPunct/>
        <w:autoSpaceDE/>
        <w:autoSpaceDN/>
        <w:adjustRightInd/>
        <w:spacing w:before="0" w:after="0"/>
        <w:ind w:left="0"/>
        <w:jc w:val="left"/>
        <w:rPr>
          <w:lang w:eastAsia="fr-FR"/>
        </w:rPr>
        <w:sectPr w:rsidR="00F6628D">
          <w:footerReference w:type="default" r:id="rId19"/>
          <w:pgSz w:w="11906" w:h="16838"/>
          <w:pgMar w:top="709" w:right="991" w:bottom="993" w:left="993" w:header="284" w:footer="266" w:gutter="0"/>
          <w:pgNumType w:start="1"/>
          <w:cols w:space="720"/>
        </w:sectPr>
      </w:pPr>
    </w:p>
    <w:p w:rsidR="005F11D2" w:rsidRDefault="008147E5" w:rsidP="005F11D2">
      <w:pPr>
        <w:pStyle w:val="0ENTETE"/>
      </w:pPr>
      <w:bookmarkStart w:id="201" w:name="_Toc64622272"/>
      <w:r>
        <w:lastRenderedPageBreak/>
        <w:t xml:space="preserve">ANNEXE </w:t>
      </w:r>
      <w:r w:rsidR="00F6628D">
        <w:t>4</w:t>
      </w:r>
      <w:r w:rsidR="005F11D2">
        <w:t xml:space="preserve"> AU CCAP : EXEMPLE DE MODELE COMPLET DE DECOMPTE ET D’ETAT D’ACOMPTE</w:t>
      </w:r>
      <w:bookmarkEnd w:id="201"/>
    </w:p>
    <w:p w:rsidR="005F11D2" w:rsidRDefault="005F11D2" w:rsidP="00E76F6F">
      <w:pPr>
        <w:rPr>
          <w:lang w:eastAsia="fr-FR"/>
        </w:rPr>
      </w:pPr>
    </w:p>
    <w:p w:rsidR="00FA4DF5" w:rsidRDefault="00FA4DF5" w:rsidP="00FA4DF5">
      <w:pPr>
        <w:jc w:val="left"/>
        <w:rPr>
          <w:u w:val="single"/>
          <w:lang w:eastAsia="fr-FR"/>
        </w:rPr>
      </w:pPr>
      <w:r>
        <w:rPr>
          <w:lang w:eastAsia="fr-FR"/>
        </w:rPr>
        <w:t xml:space="preserve">Les documents suivants sont disponibles au format Excel avec macro sur le site </w:t>
      </w:r>
      <w:r>
        <w:rPr>
          <w:u w:val="single"/>
          <w:lang w:eastAsia="fr-FR"/>
        </w:rPr>
        <w:t>marchespublics.nc</w:t>
      </w:r>
    </w:p>
    <w:p w:rsidR="00FA4DF5" w:rsidRDefault="00FA4DF5" w:rsidP="00E76F6F">
      <w:pPr>
        <w:rPr>
          <w:lang w:eastAsia="fr-FR"/>
        </w:rPr>
        <w:sectPr w:rsidR="00FA4DF5" w:rsidSect="00DA53C9">
          <w:headerReference w:type="first" r:id="rId20"/>
          <w:footerReference w:type="first" r:id="rId21"/>
          <w:pgSz w:w="11906" w:h="16838"/>
          <w:pgMar w:top="709" w:right="991" w:bottom="993" w:left="993" w:header="284" w:footer="266" w:gutter="0"/>
          <w:pgNumType w:start="1"/>
          <w:cols w:space="708"/>
          <w:titlePg/>
          <w:docGrid w:linePitch="360"/>
        </w:sectPr>
      </w:pPr>
    </w:p>
    <w:p w:rsidR="00DA53C9" w:rsidRDefault="005F11D2" w:rsidP="005F11D2">
      <w:pPr>
        <w:ind w:left="0"/>
        <w:rPr>
          <w:lang w:eastAsia="fr-FR"/>
        </w:rPr>
      </w:pPr>
      <w:r>
        <w:rPr>
          <w:noProof/>
          <w:lang w:eastAsia="fr-FR"/>
        </w:rPr>
        <w:lastRenderedPageBreak/>
        <w:drawing>
          <wp:inline distT="0" distB="0" distL="0" distR="0" wp14:anchorId="7B16BCAC" wp14:editId="32510F17">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lastRenderedPageBreak/>
        <w:drawing>
          <wp:inline distT="0" distB="0" distL="0" distR="0" wp14:anchorId="6ABCC1E4" wp14:editId="66672E2E">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1F637933" wp14:editId="462D4EE0">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5337CDCD" wp14:editId="1EDF16EE">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6F7F59B0" wp14:editId="03A09BBE">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43838397" wp14:editId="275C2135">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1472B092" wp14:editId="0EEC7B01">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21377E0D" wp14:editId="68EB8466">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2E43286E" wp14:editId="6172C299">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BB6A66">
          <w:headerReference w:type="default" r:id="rId31"/>
          <w:footerReference w:type="default" r:id="rId32"/>
          <w:pgSz w:w="11906" w:h="16838"/>
          <w:pgMar w:top="709" w:right="991" w:bottom="993" w:left="993" w:header="284" w:footer="501" w:gutter="0"/>
          <w:pgNumType w:start="1"/>
          <w:cols w:space="708"/>
          <w:docGrid w:linePitch="360"/>
        </w:sectPr>
      </w:pPr>
    </w:p>
    <w:p w:rsidR="005F11D2" w:rsidRDefault="008147E5" w:rsidP="005F11D2">
      <w:pPr>
        <w:pStyle w:val="0ENTETE"/>
      </w:pPr>
      <w:bookmarkStart w:id="202" w:name="_Toc64622273"/>
      <w:r>
        <w:lastRenderedPageBreak/>
        <w:t xml:space="preserve">ANNEXE </w:t>
      </w:r>
      <w:r w:rsidR="00F6628D">
        <w:t>5</w:t>
      </w:r>
      <w:r w:rsidR="005F11D2">
        <w:t xml:space="preserve"> AU CCAP : MODELE DE CAUTION PERSONNELLE ET SOLIDAIRE A PRESENTER EN CONTREPARTIE D’UNE AVANCE</w:t>
      </w:r>
      <w:bookmarkEnd w:id="202"/>
    </w:p>
    <w:p w:rsidR="005F11D2" w:rsidRDefault="005F11D2" w:rsidP="005F11D2">
      <w:pPr>
        <w:rPr>
          <w:lang w:eastAsia="fr-FR"/>
        </w:rPr>
        <w:sectPr w:rsidR="005F11D2" w:rsidSect="00DA53C9">
          <w:headerReference w:type="first" r:id="rId33"/>
          <w:footerReference w:type="first" r:id="rId34"/>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BB6A66">
      <w:headerReference w:type="default" r:id="rId35"/>
      <w:footerReference w:type="default" r:id="rId36"/>
      <w:pgSz w:w="11906" w:h="16838"/>
      <w:pgMar w:top="709" w:right="991" w:bottom="993" w:left="993" w:header="284" w:footer="6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EF" w:rsidRDefault="00405CEF" w:rsidP="00E76F6F">
      <w:r>
        <w:separator/>
      </w:r>
    </w:p>
  </w:endnote>
  <w:endnote w:type="continuationSeparator" w:id="0">
    <w:p w:rsidR="00405CEF" w:rsidRDefault="00405CEF"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BB6A66" w:rsidRDefault="001C5FBB" w:rsidP="00BB6A66">
    <w:pPr>
      <w:pStyle w:val="Pieddepage"/>
      <w:ind w:left="0"/>
    </w:pPr>
    <w:r>
      <w:t>CCAP marché cadre prestations intellectuelles avec marchés subséquents standards</w:t>
    </w:r>
    <w:r>
      <w:tab/>
    </w:r>
    <w:r>
      <w:tab/>
    </w:r>
    <w:r>
      <w:fldChar w:fldCharType="begin"/>
    </w:r>
    <w:r>
      <w:instrText xml:space="preserve"> PAGE   \* MERGEFORMAT </w:instrText>
    </w:r>
    <w:r>
      <w:fldChar w:fldCharType="separate"/>
    </w:r>
    <w:r w:rsidR="00F2448C">
      <w:rPr>
        <w:noProof/>
      </w:rPr>
      <w:t>37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C7118C" w:rsidRDefault="001C5FBB" w:rsidP="00C7118C">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BB6A66" w:rsidRDefault="001C5FBB" w:rsidP="00BB6A66">
    <w:pPr>
      <w:pStyle w:val="Pieddepage"/>
      <w:ind w:left="0"/>
    </w:pPr>
    <w:r w:rsidRPr="00BB6A66">
      <w:t xml:space="preserve">Annexe 5 CCAP marché </w:t>
    </w:r>
    <w:proofErr w:type="gramStart"/>
    <w:r w:rsidRPr="00BB6A66">
      <w:t>cadre</w:t>
    </w:r>
    <w:proofErr w:type="gramEnd"/>
    <w:r w:rsidRPr="00BB6A66">
      <w:t>: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C7118C" w:rsidRDefault="001C5FBB" w:rsidP="00C711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35531"/>
      <w:docPartObj>
        <w:docPartGallery w:val="Page Numbers (Bottom of Page)"/>
        <w:docPartUnique/>
      </w:docPartObj>
    </w:sdtPr>
    <w:sdtEndPr>
      <w:rPr>
        <w:sz w:val="18"/>
        <w:szCs w:val="18"/>
      </w:rPr>
    </w:sdtEndPr>
    <w:sdtContent>
      <w:p w:rsidR="001C5FBB" w:rsidRPr="00BB6A66" w:rsidRDefault="001C5FBB" w:rsidP="00BB6A66">
        <w:pPr>
          <w:pStyle w:val="Pieddepage"/>
          <w:ind w:left="0"/>
          <w:jc w:val="left"/>
        </w:pPr>
        <w:r>
          <w:t xml:space="preserve">Annexe 1 </w:t>
        </w:r>
        <w:r w:rsidRPr="00BB6A66">
          <w:t xml:space="preserve">CCAP </w:t>
        </w:r>
        <w:r>
          <w:t>m</w:t>
        </w:r>
        <w:r w:rsidRPr="00BB6A66">
          <w:t>arché cadre</w:t>
        </w:r>
        <w:r>
          <w:t> :</w:t>
        </w:r>
        <w:r w:rsidRPr="00BB6A66">
          <w:t xml:space="preserve"> modèle d’acte d’engagement pour </w:t>
        </w:r>
        <w:proofErr w:type="spellStart"/>
        <w:r w:rsidRPr="00BB6A66">
          <w:t>marché</w:t>
        </w:r>
        <w:proofErr w:type="spellEnd"/>
        <w:r w:rsidRPr="00BB6A66">
          <w:t xml:space="preserve"> subséquent</w:t>
        </w:r>
        <w:r>
          <w:t xml:space="preserve"> standard</w:t>
        </w:r>
        <w:r>
          <w:tab/>
        </w:r>
        <w:r w:rsidRPr="00BB6A66">
          <w:fldChar w:fldCharType="begin"/>
        </w:r>
        <w:r w:rsidRPr="00BB6A66">
          <w:instrText>PAGE   \* MERGEFORMAT</w:instrText>
        </w:r>
        <w:r w:rsidRPr="00BB6A66">
          <w:fldChar w:fldCharType="separate"/>
        </w:r>
        <w:r w:rsidR="00F2448C">
          <w:rPr>
            <w:noProof/>
          </w:rPr>
          <w:t>9</w:t>
        </w:r>
        <w:r w:rsidRPr="00BB6A66">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48989"/>
      <w:docPartObj>
        <w:docPartGallery w:val="Page Numbers (Bottom of Page)"/>
        <w:docPartUnique/>
      </w:docPartObj>
    </w:sdtPr>
    <w:sdtEndPr>
      <w:rPr>
        <w:sz w:val="18"/>
        <w:szCs w:val="18"/>
      </w:rPr>
    </w:sdtEndPr>
    <w:sdtContent>
      <w:p w:rsidR="001C5FBB" w:rsidRDefault="001C5FBB" w:rsidP="00BC4DC9">
        <w:pPr>
          <w:pStyle w:val="Pieddepage"/>
          <w:jc w:val="right"/>
        </w:pPr>
      </w:p>
      <w:p w:rsidR="001C5FBB" w:rsidRPr="00D40820" w:rsidRDefault="00F2448C" w:rsidP="00D40820">
        <w:pPr>
          <w:pStyle w:val="Pieddepage"/>
          <w:jc w:val="center"/>
          <w:rPr>
            <w:sz w:val="18"/>
            <w:szCs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F6628D">
    <w:pPr>
      <w:pBdr>
        <w:top w:val="single" w:sz="4" w:space="1" w:color="auto"/>
      </w:pBdr>
    </w:pPr>
    <w:r>
      <w:t>Références : articles 3, 13-7, 13-8, 13-9, 53, 76-1, 97-1 de la délibération n° 424 du 20 mars 2019 modifiée</w:t>
    </w:r>
  </w:p>
  <w:p w:rsidR="001C5FBB" w:rsidRDefault="001C5FBB" w:rsidP="00F6628D">
    <w:pPr>
      <w:pStyle w:val="Pieddepage"/>
      <w:rPr>
        <w:b/>
      </w:rPr>
    </w:pPr>
    <w:r>
      <w:tab/>
      <w:t xml:space="preserve">Page </w:t>
    </w:r>
    <w:r>
      <w:fldChar w:fldCharType="begin"/>
    </w:r>
    <w:r>
      <w:instrText xml:space="preserve"> PAGE   \* MERGEFORMAT </w:instrText>
    </w:r>
    <w:r>
      <w:fldChar w:fldCharType="separate"/>
    </w:r>
    <w:r w:rsidR="00F2448C">
      <w:rPr>
        <w:noProof/>
      </w:rPr>
      <w:t>4</w:t>
    </w:r>
    <w:r>
      <w:fldChar w:fldCharType="end"/>
    </w:r>
    <w:r>
      <w:t xml:space="preserve"> sur </w:t>
    </w:r>
    <w:r>
      <w:rPr>
        <w:noProof/>
      </w:rPr>
      <w:fldChar w:fldCharType="begin"/>
    </w:r>
    <w:r>
      <w:rPr>
        <w:noProof/>
      </w:rPr>
      <w:instrText xml:space="preserve"> SECTIONPAGES   \* MERGEFORMAT </w:instrText>
    </w:r>
    <w:r>
      <w:rPr>
        <w:noProof/>
      </w:rPr>
      <w:fldChar w:fldCharType="separate"/>
    </w:r>
    <w:r w:rsidR="00F2448C">
      <w:rPr>
        <w:noProof/>
      </w:rPr>
      <w:t>4</w:t>
    </w:r>
    <w:r>
      <w:rPr>
        <w:noProof/>
      </w:rPr>
      <w:fldChar w:fldCharType="end"/>
    </w:r>
    <w:r>
      <w:tab/>
    </w:r>
  </w:p>
  <w:p w:rsidR="001C5FBB" w:rsidRPr="00D40820" w:rsidRDefault="001C5FBB" w:rsidP="00F6628D">
    <w:pPr>
      <w:pStyle w:val="Pieddepage"/>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D40820" w:rsidRDefault="001C5FBB" w:rsidP="00F6628D">
    <w:pPr>
      <w:pStyle w:val="Pieddepage"/>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F6628D">
    <w:pPr>
      <w:pBdr>
        <w:top w:val="single" w:sz="4" w:space="1" w:color="auto"/>
      </w:pBdr>
    </w:pPr>
    <w:r>
      <w:t>Références : articles 3, 13-7, 13-8, 13-9, 53, 76-1, 97-1 de la délibération n° 424 du 20 mars 2019 modifiée</w:t>
    </w:r>
  </w:p>
  <w:p w:rsidR="001C5FBB" w:rsidRDefault="001C5FBB" w:rsidP="00F6628D">
    <w:pPr>
      <w:pStyle w:val="Pieddepage"/>
      <w:rPr>
        <w:b/>
      </w:rPr>
    </w:pPr>
    <w:r>
      <w:tab/>
      <w:t xml:space="preserve">Page </w:t>
    </w:r>
    <w:r>
      <w:fldChar w:fldCharType="begin"/>
    </w:r>
    <w:r>
      <w:instrText xml:space="preserve"> PAGE   \* MERGEFORMAT </w:instrText>
    </w:r>
    <w:r>
      <w:fldChar w:fldCharType="separate"/>
    </w:r>
    <w:r w:rsidR="00F2448C">
      <w:rPr>
        <w:noProof/>
      </w:rPr>
      <w:t>2</w:t>
    </w:r>
    <w:r>
      <w:fldChar w:fldCharType="end"/>
    </w:r>
    <w:r>
      <w:t xml:space="preserve"> sur </w:t>
    </w:r>
    <w:r>
      <w:rPr>
        <w:noProof/>
      </w:rPr>
      <w:fldChar w:fldCharType="begin"/>
    </w:r>
    <w:r>
      <w:rPr>
        <w:noProof/>
      </w:rPr>
      <w:instrText xml:space="preserve"> SECTIONPAGES   \* MERGEFORMAT </w:instrText>
    </w:r>
    <w:r>
      <w:rPr>
        <w:noProof/>
      </w:rPr>
      <w:fldChar w:fldCharType="separate"/>
    </w:r>
    <w:r w:rsidR="00F2448C">
      <w:rPr>
        <w:noProof/>
      </w:rPr>
      <w:t>4</w:t>
    </w:r>
    <w:r>
      <w:rPr>
        <w:noProof/>
      </w:rPr>
      <w:fldChar w:fldCharType="end"/>
    </w:r>
    <w:r>
      <w:tab/>
    </w:r>
  </w:p>
  <w:p w:rsidR="001C5FBB" w:rsidRPr="00F6628D" w:rsidRDefault="001C5FBB" w:rsidP="00F6628D">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C7118C" w:rsidRDefault="001C5FBB" w:rsidP="00C7118C">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Pr="00BB6A66" w:rsidRDefault="001C5FBB" w:rsidP="00BB6A66">
    <w:pPr>
      <w:pStyle w:val="Pieddepage"/>
      <w:ind w:left="0"/>
      <w:rPr>
        <w:b/>
      </w:rPr>
    </w:pPr>
    <w:r w:rsidRPr="00BB6A66">
      <w:t xml:space="preserve">Annexe 4 CCAP marché </w:t>
    </w:r>
    <w:proofErr w:type="gramStart"/>
    <w:r>
      <w:t>cadre</w:t>
    </w:r>
    <w:proofErr w:type="gramEnd"/>
    <w:r>
      <w:t xml:space="preserve"> </w:t>
    </w:r>
    <w:r w:rsidRPr="00BB6A66">
      <w:t>: modèle d’état d’acompte</w:t>
    </w:r>
    <w:r w:rsidRPr="00BB6A66">
      <w:tab/>
      <w:t xml:space="preserve">Page </w:t>
    </w:r>
    <w:r w:rsidRPr="00BB6A66">
      <w:fldChar w:fldCharType="begin"/>
    </w:r>
    <w:r w:rsidRPr="00BB6A66">
      <w:instrText xml:space="preserve"> PAGE   \* MERGEFORMAT </w:instrText>
    </w:r>
    <w:r w:rsidRPr="00BB6A66">
      <w:fldChar w:fldCharType="separate"/>
    </w:r>
    <w:r w:rsidR="00F2448C">
      <w:rPr>
        <w:noProof/>
      </w:rPr>
      <w:t>9</w:t>
    </w:r>
    <w:r w:rsidRPr="00BB6A66">
      <w:fldChar w:fldCharType="end"/>
    </w:r>
    <w:r w:rsidRPr="00BB6A66">
      <w:t xml:space="preserve"> sur </w:t>
    </w:r>
    <w:r w:rsidRPr="00BB6A66">
      <w:rPr>
        <w:noProof/>
      </w:rPr>
      <w:fldChar w:fldCharType="begin"/>
    </w:r>
    <w:r w:rsidRPr="00BB6A66">
      <w:rPr>
        <w:noProof/>
      </w:rPr>
      <w:instrText xml:space="preserve"> SECTIONPAGES   \* MERGEFORMAT </w:instrText>
    </w:r>
    <w:r w:rsidRPr="00BB6A66">
      <w:rPr>
        <w:noProof/>
      </w:rPr>
      <w:fldChar w:fldCharType="separate"/>
    </w:r>
    <w:r w:rsidR="00F2448C">
      <w:rPr>
        <w:noProof/>
      </w:rPr>
      <w:t>9</w:t>
    </w:r>
    <w:r w:rsidRPr="00BB6A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EF" w:rsidRDefault="00405CEF" w:rsidP="00E76F6F">
      <w:r>
        <w:separator/>
      </w:r>
    </w:p>
  </w:footnote>
  <w:footnote w:type="continuationSeparator" w:id="0">
    <w:p w:rsidR="00405CEF" w:rsidRDefault="00405CEF"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BB" w:rsidRDefault="001C5FBB"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7BD268AD"/>
    <w:multiLevelType w:val="hybridMultilevel"/>
    <w:tmpl w:val="0DC828A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5"/>
    <w:lvlOverride w:ilvl="0">
      <w:startOverride w:val="1"/>
    </w:lvlOverride>
  </w:num>
  <w:num w:numId="43">
    <w:abstractNumId w:val="1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5FB3"/>
    <w:rsid w:val="0001079D"/>
    <w:rsid w:val="00023565"/>
    <w:rsid w:val="00027DEA"/>
    <w:rsid w:val="00056BB3"/>
    <w:rsid w:val="00061182"/>
    <w:rsid w:val="00065092"/>
    <w:rsid w:val="0007155E"/>
    <w:rsid w:val="000816BA"/>
    <w:rsid w:val="000902DE"/>
    <w:rsid w:val="00091434"/>
    <w:rsid w:val="00096AA6"/>
    <w:rsid w:val="000B29C2"/>
    <w:rsid w:val="000B7931"/>
    <w:rsid w:val="000C0A86"/>
    <w:rsid w:val="000E16F9"/>
    <w:rsid w:val="000E77C0"/>
    <w:rsid w:val="000F28AE"/>
    <w:rsid w:val="00105216"/>
    <w:rsid w:val="0010575B"/>
    <w:rsid w:val="00105C8B"/>
    <w:rsid w:val="0011750D"/>
    <w:rsid w:val="00123A1C"/>
    <w:rsid w:val="001260F8"/>
    <w:rsid w:val="001336FB"/>
    <w:rsid w:val="0014361E"/>
    <w:rsid w:val="00152B1C"/>
    <w:rsid w:val="00157E11"/>
    <w:rsid w:val="00180261"/>
    <w:rsid w:val="001920D8"/>
    <w:rsid w:val="00196A76"/>
    <w:rsid w:val="001A491C"/>
    <w:rsid w:val="001B17EF"/>
    <w:rsid w:val="001C5FBB"/>
    <w:rsid w:val="001C68E2"/>
    <w:rsid w:val="001C78B7"/>
    <w:rsid w:val="001D2CE2"/>
    <w:rsid w:val="001D5DD3"/>
    <w:rsid w:val="001D74D4"/>
    <w:rsid w:val="001E1B5D"/>
    <w:rsid w:val="001E2DEC"/>
    <w:rsid w:val="001F3402"/>
    <w:rsid w:val="001F7EB8"/>
    <w:rsid w:val="00212532"/>
    <w:rsid w:val="00217BD5"/>
    <w:rsid w:val="0022191E"/>
    <w:rsid w:val="00227D82"/>
    <w:rsid w:val="00234C4B"/>
    <w:rsid w:val="002376D8"/>
    <w:rsid w:val="00253981"/>
    <w:rsid w:val="002565F1"/>
    <w:rsid w:val="00265B3E"/>
    <w:rsid w:val="00267292"/>
    <w:rsid w:val="0027199D"/>
    <w:rsid w:val="00273A6F"/>
    <w:rsid w:val="002742B6"/>
    <w:rsid w:val="00281459"/>
    <w:rsid w:val="002A2991"/>
    <w:rsid w:val="002B1D9C"/>
    <w:rsid w:val="002B30F7"/>
    <w:rsid w:val="002C77F8"/>
    <w:rsid w:val="002D1377"/>
    <w:rsid w:val="002D3311"/>
    <w:rsid w:val="002E47FA"/>
    <w:rsid w:val="002F090E"/>
    <w:rsid w:val="00304DED"/>
    <w:rsid w:val="003059D3"/>
    <w:rsid w:val="0030667D"/>
    <w:rsid w:val="00310893"/>
    <w:rsid w:val="00311F7C"/>
    <w:rsid w:val="0031687C"/>
    <w:rsid w:val="003306DD"/>
    <w:rsid w:val="00331E00"/>
    <w:rsid w:val="00334023"/>
    <w:rsid w:val="0033693D"/>
    <w:rsid w:val="00342541"/>
    <w:rsid w:val="00343542"/>
    <w:rsid w:val="00347818"/>
    <w:rsid w:val="00353563"/>
    <w:rsid w:val="003629D5"/>
    <w:rsid w:val="0038255E"/>
    <w:rsid w:val="0038559F"/>
    <w:rsid w:val="00386F03"/>
    <w:rsid w:val="00387586"/>
    <w:rsid w:val="003A3C4E"/>
    <w:rsid w:val="003B1E60"/>
    <w:rsid w:val="003B5ADA"/>
    <w:rsid w:val="003C3A62"/>
    <w:rsid w:val="003C457F"/>
    <w:rsid w:val="003C591E"/>
    <w:rsid w:val="003D61A4"/>
    <w:rsid w:val="003E211F"/>
    <w:rsid w:val="003E2FDD"/>
    <w:rsid w:val="003E4012"/>
    <w:rsid w:val="003E4122"/>
    <w:rsid w:val="003F51C1"/>
    <w:rsid w:val="003F5FB4"/>
    <w:rsid w:val="004020BD"/>
    <w:rsid w:val="00405CEF"/>
    <w:rsid w:val="004121AB"/>
    <w:rsid w:val="00422C2B"/>
    <w:rsid w:val="00447149"/>
    <w:rsid w:val="00455508"/>
    <w:rsid w:val="00462A40"/>
    <w:rsid w:val="00474073"/>
    <w:rsid w:val="00474C06"/>
    <w:rsid w:val="0048147A"/>
    <w:rsid w:val="004831C4"/>
    <w:rsid w:val="00484A6D"/>
    <w:rsid w:val="00492F80"/>
    <w:rsid w:val="004945CE"/>
    <w:rsid w:val="00495261"/>
    <w:rsid w:val="00497347"/>
    <w:rsid w:val="004A0DC6"/>
    <w:rsid w:val="004A4124"/>
    <w:rsid w:val="004C6EE4"/>
    <w:rsid w:val="004D3671"/>
    <w:rsid w:val="004D61E9"/>
    <w:rsid w:val="004D6F39"/>
    <w:rsid w:val="004D7752"/>
    <w:rsid w:val="004E167F"/>
    <w:rsid w:val="004E65EF"/>
    <w:rsid w:val="00500099"/>
    <w:rsid w:val="0051417F"/>
    <w:rsid w:val="005149CD"/>
    <w:rsid w:val="0051549F"/>
    <w:rsid w:val="00525906"/>
    <w:rsid w:val="005360DC"/>
    <w:rsid w:val="00546E4A"/>
    <w:rsid w:val="00551AA8"/>
    <w:rsid w:val="00560080"/>
    <w:rsid w:val="0057649C"/>
    <w:rsid w:val="00581876"/>
    <w:rsid w:val="0058753D"/>
    <w:rsid w:val="00595D2A"/>
    <w:rsid w:val="00596AE8"/>
    <w:rsid w:val="005A2CA1"/>
    <w:rsid w:val="005A50DA"/>
    <w:rsid w:val="005B569A"/>
    <w:rsid w:val="005C4991"/>
    <w:rsid w:val="005C62C6"/>
    <w:rsid w:val="005C722D"/>
    <w:rsid w:val="005D195E"/>
    <w:rsid w:val="005E1754"/>
    <w:rsid w:val="005F11D2"/>
    <w:rsid w:val="005F3090"/>
    <w:rsid w:val="005F43A6"/>
    <w:rsid w:val="005F4645"/>
    <w:rsid w:val="006018E7"/>
    <w:rsid w:val="0061002F"/>
    <w:rsid w:val="006103C6"/>
    <w:rsid w:val="00615241"/>
    <w:rsid w:val="00640CAC"/>
    <w:rsid w:val="00644448"/>
    <w:rsid w:val="00651ADB"/>
    <w:rsid w:val="0065666B"/>
    <w:rsid w:val="006672FC"/>
    <w:rsid w:val="006740CF"/>
    <w:rsid w:val="006819F7"/>
    <w:rsid w:val="00682533"/>
    <w:rsid w:val="00684FB8"/>
    <w:rsid w:val="00685364"/>
    <w:rsid w:val="0069477A"/>
    <w:rsid w:val="00696509"/>
    <w:rsid w:val="006966B2"/>
    <w:rsid w:val="006B1010"/>
    <w:rsid w:val="006B5D71"/>
    <w:rsid w:val="006C271F"/>
    <w:rsid w:val="006C35A7"/>
    <w:rsid w:val="006C755F"/>
    <w:rsid w:val="006D6DB1"/>
    <w:rsid w:val="006D77EA"/>
    <w:rsid w:val="006E07C0"/>
    <w:rsid w:val="006E1427"/>
    <w:rsid w:val="006E2DF0"/>
    <w:rsid w:val="006E5378"/>
    <w:rsid w:val="006F066A"/>
    <w:rsid w:val="006F4EA2"/>
    <w:rsid w:val="006F5750"/>
    <w:rsid w:val="006F685B"/>
    <w:rsid w:val="006F7E96"/>
    <w:rsid w:val="00702D28"/>
    <w:rsid w:val="00710D78"/>
    <w:rsid w:val="00717341"/>
    <w:rsid w:val="00721132"/>
    <w:rsid w:val="00721FE1"/>
    <w:rsid w:val="00731A50"/>
    <w:rsid w:val="00740979"/>
    <w:rsid w:val="0074544F"/>
    <w:rsid w:val="00746698"/>
    <w:rsid w:val="00751D14"/>
    <w:rsid w:val="007533D1"/>
    <w:rsid w:val="00764537"/>
    <w:rsid w:val="007671C6"/>
    <w:rsid w:val="00772FEE"/>
    <w:rsid w:val="00774A53"/>
    <w:rsid w:val="00787865"/>
    <w:rsid w:val="00794452"/>
    <w:rsid w:val="007B6A23"/>
    <w:rsid w:val="007B74E4"/>
    <w:rsid w:val="007C6E70"/>
    <w:rsid w:val="007C6FF6"/>
    <w:rsid w:val="007E54F7"/>
    <w:rsid w:val="007F0919"/>
    <w:rsid w:val="00802BB1"/>
    <w:rsid w:val="008147E5"/>
    <w:rsid w:val="0081613F"/>
    <w:rsid w:val="00817056"/>
    <w:rsid w:val="008312B0"/>
    <w:rsid w:val="0083215C"/>
    <w:rsid w:val="008501C5"/>
    <w:rsid w:val="00851F1B"/>
    <w:rsid w:val="00852C8F"/>
    <w:rsid w:val="00856A0D"/>
    <w:rsid w:val="00872A77"/>
    <w:rsid w:val="00887659"/>
    <w:rsid w:val="008B1AA1"/>
    <w:rsid w:val="008B5E5B"/>
    <w:rsid w:val="008B7839"/>
    <w:rsid w:val="008C0C8C"/>
    <w:rsid w:val="008C1E75"/>
    <w:rsid w:val="008C3B3F"/>
    <w:rsid w:val="008C446F"/>
    <w:rsid w:val="008C5D88"/>
    <w:rsid w:val="008C5F61"/>
    <w:rsid w:val="008D0B12"/>
    <w:rsid w:val="008D2ADD"/>
    <w:rsid w:val="008D3D47"/>
    <w:rsid w:val="008D4D8C"/>
    <w:rsid w:val="008E059F"/>
    <w:rsid w:val="008E1421"/>
    <w:rsid w:val="008E60F6"/>
    <w:rsid w:val="008F1DC9"/>
    <w:rsid w:val="0090273D"/>
    <w:rsid w:val="009034D5"/>
    <w:rsid w:val="00904F1A"/>
    <w:rsid w:val="009161EB"/>
    <w:rsid w:val="00921E88"/>
    <w:rsid w:val="00923711"/>
    <w:rsid w:val="009262DB"/>
    <w:rsid w:val="009309F8"/>
    <w:rsid w:val="00936371"/>
    <w:rsid w:val="00936478"/>
    <w:rsid w:val="0096151F"/>
    <w:rsid w:val="009616CE"/>
    <w:rsid w:val="00962CFC"/>
    <w:rsid w:val="00963A1D"/>
    <w:rsid w:val="00966E77"/>
    <w:rsid w:val="00966F0E"/>
    <w:rsid w:val="0099533B"/>
    <w:rsid w:val="009B0A55"/>
    <w:rsid w:val="009B2F51"/>
    <w:rsid w:val="009C3A19"/>
    <w:rsid w:val="009C52F4"/>
    <w:rsid w:val="009D065A"/>
    <w:rsid w:val="009D432D"/>
    <w:rsid w:val="009D62D1"/>
    <w:rsid w:val="009E0245"/>
    <w:rsid w:val="009E0B89"/>
    <w:rsid w:val="009E3752"/>
    <w:rsid w:val="009E7146"/>
    <w:rsid w:val="009E7303"/>
    <w:rsid w:val="009F1C69"/>
    <w:rsid w:val="009F52D3"/>
    <w:rsid w:val="009F6CF7"/>
    <w:rsid w:val="009F7193"/>
    <w:rsid w:val="00A12F00"/>
    <w:rsid w:val="00A16753"/>
    <w:rsid w:val="00A203DE"/>
    <w:rsid w:val="00A34064"/>
    <w:rsid w:val="00A4744F"/>
    <w:rsid w:val="00A4792C"/>
    <w:rsid w:val="00A579B2"/>
    <w:rsid w:val="00A60A15"/>
    <w:rsid w:val="00A634DB"/>
    <w:rsid w:val="00A6494E"/>
    <w:rsid w:val="00A83939"/>
    <w:rsid w:val="00A87C22"/>
    <w:rsid w:val="00A923CC"/>
    <w:rsid w:val="00A928C0"/>
    <w:rsid w:val="00A92C6B"/>
    <w:rsid w:val="00A975DF"/>
    <w:rsid w:val="00AB7DC9"/>
    <w:rsid w:val="00AC0021"/>
    <w:rsid w:val="00AC657D"/>
    <w:rsid w:val="00AD17B3"/>
    <w:rsid w:val="00AE06DB"/>
    <w:rsid w:val="00AE16A1"/>
    <w:rsid w:val="00AE2699"/>
    <w:rsid w:val="00AE49AE"/>
    <w:rsid w:val="00AF325D"/>
    <w:rsid w:val="00B04B9D"/>
    <w:rsid w:val="00B05E7A"/>
    <w:rsid w:val="00B062CB"/>
    <w:rsid w:val="00B20F4E"/>
    <w:rsid w:val="00B21E6D"/>
    <w:rsid w:val="00B22A3D"/>
    <w:rsid w:val="00B2486A"/>
    <w:rsid w:val="00B57325"/>
    <w:rsid w:val="00B62488"/>
    <w:rsid w:val="00B63DE9"/>
    <w:rsid w:val="00B64574"/>
    <w:rsid w:val="00B66158"/>
    <w:rsid w:val="00B667E3"/>
    <w:rsid w:val="00B7258E"/>
    <w:rsid w:val="00B77E39"/>
    <w:rsid w:val="00B868F4"/>
    <w:rsid w:val="00B870AB"/>
    <w:rsid w:val="00BA4AEF"/>
    <w:rsid w:val="00BA7ED3"/>
    <w:rsid w:val="00BB4A26"/>
    <w:rsid w:val="00BB519B"/>
    <w:rsid w:val="00BB6A66"/>
    <w:rsid w:val="00BC0DBA"/>
    <w:rsid w:val="00BC159E"/>
    <w:rsid w:val="00BC4DC9"/>
    <w:rsid w:val="00BC70D4"/>
    <w:rsid w:val="00BD1887"/>
    <w:rsid w:val="00BE1B67"/>
    <w:rsid w:val="00BF74C3"/>
    <w:rsid w:val="00C1553F"/>
    <w:rsid w:val="00C172B1"/>
    <w:rsid w:val="00C3319A"/>
    <w:rsid w:val="00C356E7"/>
    <w:rsid w:val="00C40FCD"/>
    <w:rsid w:val="00C414C1"/>
    <w:rsid w:val="00C42A59"/>
    <w:rsid w:val="00C438FF"/>
    <w:rsid w:val="00C56758"/>
    <w:rsid w:val="00C6707D"/>
    <w:rsid w:val="00C7118C"/>
    <w:rsid w:val="00C8080F"/>
    <w:rsid w:val="00C837A0"/>
    <w:rsid w:val="00C84C44"/>
    <w:rsid w:val="00C851D0"/>
    <w:rsid w:val="00C97A5D"/>
    <w:rsid w:val="00CA0464"/>
    <w:rsid w:val="00CC0C14"/>
    <w:rsid w:val="00CC0DD9"/>
    <w:rsid w:val="00CE1632"/>
    <w:rsid w:val="00CE1D08"/>
    <w:rsid w:val="00CE3525"/>
    <w:rsid w:val="00CE5793"/>
    <w:rsid w:val="00CE64EF"/>
    <w:rsid w:val="00CE6DD2"/>
    <w:rsid w:val="00CF4326"/>
    <w:rsid w:val="00CF5CE9"/>
    <w:rsid w:val="00D047D2"/>
    <w:rsid w:val="00D06C53"/>
    <w:rsid w:val="00D16CBB"/>
    <w:rsid w:val="00D23859"/>
    <w:rsid w:val="00D30510"/>
    <w:rsid w:val="00D34E8E"/>
    <w:rsid w:val="00D40820"/>
    <w:rsid w:val="00D46E94"/>
    <w:rsid w:val="00D47D3C"/>
    <w:rsid w:val="00D50228"/>
    <w:rsid w:val="00D60D25"/>
    <w:rsid w:val="00D64D6B"/>
    <w:rsid w:val="00D65D5C"/>
    <w:rsid w:val="00D872DA"/>
    <w:rsid w:val="00D933D7"/>
    <w:rsid w:val="00D943DA"/>
    <w:rsid w:val="00D95312"/>
    <w:rsid w:val="00DA0AE1"/>
    <w:rsid w:val="00DA3AE2"/>
    <w:rsid w:val="00DA4227"/>
    <w:rsid w:val="00DA53C9"/>
    <w:rsid w:val="00DC0195"/>
    <w:rsid w:val="00DC09CD"/>
    <w:rsid w:val="00DC2EF5"/>
    <w:rsid w:val="00DC6332"/>
    <w:rsid w:val="00DD06E1"/>
    <w:rsid w:val="00DD5255"/>
    <w:rsid w:val="00DE499B"/>
    <w:rsid w:val="00DF0968"/>
    <w:rsid w:val="00DF3E06"/>
    <w:rsid w:val="00DF6ED0"/>
    <w:rsid w:val="00DF76AC"/>
    <w:rsid w:val="00E130ED"/>
    <w:rsid w:val="00E15790"/>
    <w:rsid w:val="00E32934"/>
    <w:rsid w:val="00E37294"/>
    <w:rsid w:val="00E43611"/>
    <w:rsid w:val="00E472EB"/>
    <w:rsid w:val="00E50155"/>
    <w:rsid w:val="00E73678"/>
    <w:rsid w:val="00E76F6F"/>
    <w:rsid w:val="00E921AA"/>
    <w:rsid w:val="00E93E46"/>
    <w:rsid w:val="00E9484B"/>
    <w:rsid w:val="00E97B14"/>
    <w:rsid w:val="00EA338E"/>
    <w:rsid w:val="00EA5A26"/>
    <w:rsid w:val="00EB4616"/>
    <w:rsid w:val="00EC568A"/>
    <w:rsid w:val="00EC5825"/>
    <w:rsid w:val="00ED2F17"/>
    <w:rsid w:val="00ED64B7"/>
    <w:rsid w:val="00EE021F"/>
    <w:rsid w:val="00EE0855"/>
    <w:rsid w:val="00EE17F3"/>
    <w:rsid w:val="00EF11C4"/>
    <w:rsid w:val="00EF577B"/>
    <w:rsid w:val="00EF62BC"/>
    <w:rsid w:val="00F03297"/>
    <w:rsid w:val="00F04FC2"/>
    <w:rsid w:val="00F078BD"/>
    <w:rsid w:val="00F14311"/>
    <w:rsid w:val="00F158F3"/>
    <w:rsid w:val="00F175E1"/>
    <w:rsid w:val="00F221AD"/>
    <w:rsid w:val="00F2326F"/>
    <w:rsid w:val="00F241C4"/>
    <w:rsid w:val="00F2448C"/>
    <w:rsid w:val="00F26629"/>
    <w:rsid w:val="00F33C60"/>
    <w:rsid w:val="00F346D2"/>
    <w:rsid w:val="00F40EC4"/>
    <w:rsid w:val="00F41BC0"/>
    <w:rsid w:val="00F46570"/>
    <w:rsid w:val="00F517BF"/>
    <w:rsid w:val="00F52210"/>
    <w:rsid w:val="00F54DC3"/>
    <w:rsid w:val="00F61EEB"/>
    <w:rsid w:val="00F6628D"/>
    <w:rsid w:val="00F70BD8"/>
    <w:rsid w:val="00F93867"/>
    <w:rsid w:val="00FA20D8"/>
    <w:rsid w:val="00FA2CE4"/>
    <w:rsid w:val="00FA4DF5"/>
    <w:rsid w:val="00FC2000"/>
    <w:rsid w:val="00FC494E"/>
    <w:rsid w:val="00FC685A"/>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96AE8"/>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D61E9"/>
    <w:rPr>
      <w:color w:val="808080"/>
    </w:rPr>
  </w:style>
  <w:style w:type="table" w:customStyle="1" w:styleId="Grilledutableau4">
    <w:name w:val="Grille du tableau4"/>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96AE8"/>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D61E9"/>
    <w:rPr>
      <w:color w:val="808080"/>
    </w:rPr>
  </w:style>
  <w:style w:type="table" w:customStyle="1" w:styleId="Grilledutableau4">
    <w:name w:val="Grille du tableau4"/>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5360DC"/>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347">
      <w:bodyDiv w:val="1"/>
      <w:marLeft w:val="0"/>
      <w:marRight w:val="0"/>
      <w:marTop w:val="0"/>
      <w:marBottom w:val="0"/>
      <w:divBdr>
        <w:top w:val="none" w:sz="0" w:space="0" w:color="auto"/>
        <w:left w:val="none" w:sz="0" w:space="0" w:color="auto"/>
        <w:bottom w:val="none" w:sz="0" w:space="0" w:color="auto"/>
        <w:right w:val="none" w:sz="0" w:space="0" w:color="auto"/>
      </w:divBdr>
    </w:div>
    <w:div w:id="211381698">
      <w:bodyDiv w:val="1"/>
      <w:marLeft w:val="0"/>
      <w:marRight w:val="0"/>
      <w:marTop w:val="0"/>
      <w:marBottom w:val="0"/>
      <w:divBdr>
        <w:top w:val="none" w:sz="0" w:space="0" w:color="auto"/>
        <w:left w:val="none" w:sz="0" w:space="0" w:color="auto"/>
        <w:bottom w:val="none" w:sz="0" w:space="0" w:color="auto"/>
        <w:right w:val="none" w:sz="0" w:space="0" w:color="auto"/>
      </w:divBdr>
    </w:div>
    <w:div w:id="271792575">
      <w:bodyDiv w:val="1"/>
      <w:marLeft w:val="0"/>
      <w:marRight w:val="0"/>
      <w:marTop w:val="0"/>
      <w:marBottom w:val="0"/>
      <w:divBdr>
        <w:top w:val="none" w:sz="0" w:space="0" w:color="auto"/>
        <w:left w:val="none" w:sz="0" w:space="0" w:color="auto"/>
        <w:bottom w:val="none" w:sz="0" w:space="0" w:color="auto"/>
        <w:right w:val="none" w:sz="0" w:space="0" w:color="auto"/>
      </w:divBdr>
    </w:div>
    <w:div w:id="400637076">
      <w:bodyDiv w:val="1"/>
      <w:marLeft w:val="0"/>
      <w:marRight w:val="0"/>
      <w:marTop w:val="0"/>
      <w:marBottom w:val="0"/>
      <w:divBdr>
        <w:top w:val="none" w:sz="0" w:space="0" w:color="auto"/>
        <w:left w:val="none" w:sz="0" w:space="0" w:color="auto"/>
        <w:bottom w:val="none" w:sz="0" w:space="0" w:color="auto"/>
        <w:right w:val="none" w:sz="0" w:space="0" w:color="auto"/>
      </w:divBdr>
    </w:div>
    <w:div w:id="552279071">
      <w:bodyDiv w:val="1"/>
      <w:marLeft w:val="0"/>
      <w:marRight w:val="0"/>
      <w:marTop w:val="0"/>
      <w:marBottom w:val="0"/>
      <w:divBdr>
        <w:top w:val="none" w:sz="0" w:space="0" w:color="auto"/>
        <w:left w:val="none" w:sz="0" w:space="0" w:color="auto"/>
        <w:bottom w:val="none" w:sz="0" w:space="0" w:color="auto"/>
        <w:right w:val="none" w:sz="0" w:space="0" w:color="auto"/>
      </w:divBdr>
    </w:div>
    <w:div w:id="612978778">
      <w:bodyDiv w:val="1"/>
      <w:marLeft w:val="0"/>
      <w:marRight w:val="0"/>
      <w:marTop w:val="0"/>
      <w:marBottom w:val="0"/>
      <w:divBdr>
        <w:top w:val="none" w:sz="0" w:space="0" w:color="auto"/>
        <w:left w:val="none" w:sz="0" w:space="0" w:color="auto"/>
        <w:bottom w:val="none" w:sz="0" w:space="0" w:color="auto"/>
        <w:right w:val="none" w:sz="0" w:space="0" w:color="auto"/>
      </w:divBdr>
    </w:div>
    <w:div w:id="635916099">
      <w:bodyDiv w:val="1"/>
      <w:marLeft w:val="0"/>
      <w:marRight w:val="0"/>
      <w:marTop w:val="0"/>
      <w:marBottom w:val="0"/>
      <w:divBdr>
        <w:top w:val="none" w:sz="0" w:space="0" w:color="auto"/>
        <w:left w:val="none" w:sz="0" w:space="0" w:color="auto"/>
        <w:bottom w:val="none" w:sz="0" w:space="0" w:color="auto"/>
        <w:right w:val="none" w:sz="0" w:space="0" w:color="auto"/>
      </w:divBdr>
    </w:div>
    <w:div w:id="989988771">
      <w:bodyDiv w:val="1"/>
      <w:marLeft w:val="0"/>
      <w:marRight w:val="0"/>
      <w:marTop w:val="0"/>
      <w:marBottom w:val="0"/>
      <w:divBdr>
        <w:top w:val="none" w:sz="0" w:space="0" w:color="auto"/>
        <w:left w:val="none" w:sz="0" w:space="0" w:color="auto"/>
        <w:bottom w:val="none" w:sz="0" w:space="0" w:color="auto"/>
        <w:right w:val="none" w:sz="0" w:space="0" w:color="auto"/>
      </w:divBdr>
    </w:div>
    <w:div w:id="1038507139">
      <w:bodyDiv w:val="1"/>
      <w:marLeft w:val="0"/>
      <w:marRight w:val="0"/>
      <w:marTop w:val="0"/>
      <w:marBottom w:val="0"/>
      <w:divBdr>
        <w:top w:val="none" w:sz="0" w:space="0" w:color="auto"/>
        <w:left w:val="none" w:sz="0" w:space="0" w:color="auto"/>
        <w:bottom w:val="none" w:sz="0" w:space="0" w:color="auto"/>
        <w:right w:val="none" w:sz="0" w:space="0" w:color="auto"/>
      </w:divBdr>
    </w:div>
    <w:div w:id="1100875742">
      <w:bodyDiv w:val="1"/>
      <w:marLeft w:val="0"/>
      <w:marRight w:val="0"/>
      <w:marTop w:val="0"/>
      <w:marBottom w:val="0"/>
      <w:divBdr>
        <w:top w:val="none" w:sz="0" w:space="0" w:color="auto"/>
        <w:left w:val="none" w:sz="0" w:space="0" w:color="auto"/>
        <w:bottom w:val="none" w:sz="0" w:space="0" w:color="auto"/>
        <w:right w:val="none" w:sz="0" w:space="0" w:color="auto"/>
      </w:divBdr>
    </w:div>
    <w:div w:id="1113598966">
      <w:bodyDiv w:val="1"/>
      <w:marLeft w:val="0"/>
      <w:marRight w:val="0"/>
      <w:marTop w:val="0"/>
      <w:marBottom w:val="0"/>
      <w:divBdr>
        <w:top w:val="none" w:sz="0" w:space="0" w:color="auto"/>
        <w:left w:val="none" w:sz="0" w:space="0" w:color="auto"/>
        <w:bottom w:val="none" w:sz="0" w:space="0" w:color="auto"/>
        <w:right w:val="none" w:sz="0" w:space="0" w:color="auto"/>
      </w:divBdr>
    </w:div>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 w:id="1421291557">
      <w:bodyDiv w:val="1"/>
      <w:marLeft w:val="0"/>
      <w:marRight w:val="0"/>
      <w:marTop w:val="0"/>
      <w:marBottom w:val="0"/>
      <w:divBdr>
        <w:top w:val="none" w:sz="0" w:space="0" w:color="auto"/>
        <w:left w:val="none" w:sz="0" w:space="0" w:color="auto"/>
        <w:bottom w:val="none" w:sz="0" w:space="0" w:color="auto"/>
        <w:right w:val="none" w:sz="0" w:space="0" w:color="auto"/>
      </w:divBdr>
    </w:div>
    <w:div w:id="1476876979">
      <w:bodyDiv w:val="1"/>
      <w:marLeft w:val="0"/>
      <w:marRight w:val="0"/>
      <w:marTop w:val="0"/>
      <w:marBottom w:val="0"/>
      <w:divBdr>
        <w:top w:val="none" w:sz="0" w:space="0" w:color="auto"/>
        <w:left w:val="none" w:sz="0" w:space="0" w:color="auto"/>
        <w:bottom w:val="none" w:sz="0" w:space="0" w:color="auto"/>
        <w:right w:val="none" w:sz="0" w:space="0" w:color="auto"/>
      </w:divBdr>
    </w:div>
    <w:div w:id="1476946067">
      <w:bodyDiv w:val="1"/>
      <w:marLeft w:val="0"/>
      <w:marRight w:val="0"/>
      <w:marTop w:val="0"/>
      <w:marBottom w:val="0"/>
      <w:divBdr>
        <w:top w:val="none" w:sz="0" w:space="0" w:color="auto"/>
        <w:left w:val="none" w:sz="0" w:space="0" w:color="auto"/>
        <w:bottom w:val="none" w:sz="0" w:space="0" w:color="auto"/>
        <w:right w:val="none" w:sz="0" w:space="0" w:color="auto"/>
      </w:divBdr>
    </w:div>
    <w:div w:id="1614244326">
      <w:bodyDiv w:val="1"/>
      <w:marLeft w:val="0"/>
      <w:marRight w:val="0"/>
      <w:marTop w:val="0"/>
      <w:marBottom w:val="0"/>
      <w:divBdr>
        <w:top w:val="none" w:sz="0" w:space="0" w:color="auto"/>
        <w:left w:val="none" w:sz="0" w:space="0" w:color="auto"/>
        <w:bottom w:val="none" w:sz="0" w:space="0" w:color="auto"/>
        <w:right w:val="none" w:sz="0" w:space="0" w:color="auto"/>
      </w:divBdr>
    </w:div>
    <w:div w:id="1642080706">
      <w:bodyDiv w:val="1"/>
      <w:marLeft w:val="0"/>
      <w:marRight w:val="0"/>
      <w:marTop w:val="0"/>
      <w:marBottom w:val="0"/>
      <w:divBdr>
        <w:top w:val="none" w:sz="0" w:space="0" w:color="auto"/>
        <w:left w:val="none" w:sz="0" w:space="0" w:color="auto"/>
        <w:bottom w:val="none" w:sz="0" w:space="0" w:color="auto"/>
        <w:right w:val="none" w:sz="0" w:space="0" w:color="auto"/>
      </w:divBdr>
    </w:div>
    <w:div w:id="1741321513">
      <w:bodyDiv w:val="1"/>
      <w:marLeft w:val="0"/>
      <w:marRight w:val="0"/>
      <w:marTop w:val="0"/>
      <w:marBottom w:val="0"/>
      <w:divBdr>
        <w:top w:val="none" w:sz="0" w:space="0" w:color="auto"/>
        <w:left w:val="none" w:sz="0" w:space="0" w:color="auto"/>
        <w:bottom w:val="none" w:sz="0" w:space="0" w:color="auto"/>
        <w:right w:val="none" w:sz="0" w:space="0" w:color="auto"/>
      </w:divBdr>
    </w:div>
    <w:div w:id="1776098358">
      <w:bodyDiv w:val="1"/>
      <w:marLeft w:val="0"/>
      <w:marRight w:val="0"/>
      <w:marTop w:val="0"/>
      <w:marBottom w:val="0"/>
      <w:divBdr>
        <w:top w:val="none" w:sz="0" w:space="0" w:color="auto"/>
        <w:left w:val="none" w:sz="0" w:space="0" w:color="auto"/>
        <w:bottom w:val="none" w:sz="0" w:space="0" w:color="auto"/>
        <w:right w:val="none" w:sz="0" w:space="0" w:color="auto"/>
      </w:divBdr>
    </w:div>
    <w:div w:id="1787774663">
      <w:bodyDiv w:val="1"/>
      <w:marLeft w:val="0"/>
      <w:marRight w:val="0"/>
      <w:marTop w:val="0"/>
      <w:marBottom w:val="0"/>
      <w:divBdr>
        <w:top w:val="none" w:sz="0" w:space="0" w:color="auto"/>
        <w:left w:val="none" w:sz="0" w:space="0" w:color="auto"/>
        <w:bottom w:val="none" w:sz="0" w:space="0" w:color="auto"/>
        <w:right w:val="none" w:sz="0" w:space="0" w:color="auto"/>
      </w:divBdr>
    </w:div>
    <w:div w:id="1853373935">
      <w:bodyDiv w:val="1"/>
      <w:marLeft w:val="0"/>
      <w:marRight w:val="0"/>
      <w:marTop w:val="0"/>
      <w:marBottom w:val="0"/>
      <w:divBdr>
        <w:top w:val="none" w:sz="0" w:space="0" w:color="auto"/>
        <w:left w:val="none" w:sz="0" w:space="0" w:color="auto"/>
        <w:bottom w:val="none" w:sz="0" w:space="0" w:color="auto"/>
        <w:right w:val="none" w:sz="0" w:space="0" w:color="auto"/>
      </w:divBdr>
    </w:div>
    <w:div w:id="1865437782">
      <w:bodyDiv w:val="1"/>
      <w:marLeft w:val="0"/>
      <w:marRight w:val="0"/>
      <w:marTop w:val="0"/>
      <w:marBottom w:val="0"/>
      <w:divBdr>
        <w:top w:val="none" w:sz="0" w:space="0" w:color="auto"/>
        <w:left w:val="none" w:sz="0" w:space="0" w:color="auto"/>
        <w:bottom w:val="none" w:sz="0" w:space="0" w:color="auto"/>
        <w:right w:val="none" w:sz="0" w:space="0" w:color="auto"/>
      </w:divBdr>
    </w:div>
    <w:div w:id="1899244553">
      <w:bodyDiv w:val="1"/>
      <w:marLeft w:val="0"/>
      <w:marRight w:val="0"/>
      <w:marTop w:val="0"/>
      <w:marBottom w:val="0"/>
      <w:divBdr>
        <w:top w:val="none" w:sz="0" w:space="0" w:color="auto"/>
        <w:left w:val="none" w:sz="0" w:space="0" w:color="auto"/>
        <w:bottom w:val="none" w:sz="0" w:space="0" w:color="auto"/>
        <w:right w:val="none" w:sz="0" w:space="0" w:color="auto"/>
      </w:divBdr>
    </w:div>
    <w:div w:id="20837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2.xml"/><Relationship Id="rId29" Type="http://schemas.openxmlformats.org/officeDocument/2006/relationships/image" Target="media/image8.png"/><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oter" Target="footer11.xml"/><Relationship Id="rId10" Type="http://schemas.openxmlformats.org/officeDocument/2006/relationships/hyperlink" Target="https://juridoc.gouv.nc" TargetMode="External"/><Relationship Id="rId19" Type="http://schemas.openxmlformats.org/officeDocument/2006/relationships/footer" Target="footer7.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2D7C-5F9D-45D7-A9E6-2A649A57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68</Pages>
  <Words>17553</Words>
  <Characters>96544</Characters>
  <Application>Microsoft Office Word</Application>
  <DocSecurity>0</DocSecurity>
  <Lines>804</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29</cp:revision>
  <cp:lastPrinted>2020-09-30T11:00:00Z</cp:lastPrinted>
  <dcterms:created xsi:type="dcterms:W3CDTF">2021-02-02T05:33:00Z</dcterms:created>
  <dcterms:modified xsi:type="dcterms:W3CDTF">2021-10-04T01:56:00Z</dcterms:modified>
</cp:coreProperties>
</file>