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CE" w:rsidRPr="00B307A2" w:rsidRDefault="00E939CE" w:rsidP="00254BB9">
      <w:pPr>
        <w:pBdr>
          <w:top w:val="single" w:sz="4" w:space="1" w:color="auto"/>
          <w:left w:val="single" w:sz="4" w:space="4" w:color="auto"/>
          <w:bottom w:val="single" w:sz="4" w:space="1" w:color="auto"/>
          <w:right w:val="single" w:sz="4" w:space="4" w:color="auto"/>
        </w:pBdr>
        <w:jc w:val="center"/>
        <w:rPr>
          <w:b/>
          <w:iCs/>
          <w:color w:val="0070C0"/>
          <w:sz w:val="22"/>
          <w:szCs w:val="22"/>
        </w:rPr>
      </w:pPr>
      <w:bookmarkStart w:id="0" w:name="_GoBack"/>
      <w:bookmarkEnd w:id="0"/>
    </w:p>
    <w:p w:rsidR="000B32EA" w:rsidRPr="00B307A2" w:rsidRDefault="000B32EA" w:rsidP="00254BB9">
      <w:pPr>
        <w:pBdr>
          <w:top w:val="single" w:sz="4" w:space="1" w:color="auto"/>
          <w:left w:val="single" w:sz="4" w:space="4" w:color="auto"/>
          <w:bottom w:val="single" w:sz="4" w:space="1" w:color="auto"/>
          <w:right w:val="single" w:sz="4" w:space="4" w:color="auto"/>
        </w:pBdr>
        <w:jc w:val="center"/>
        <w:rPr>
          <w:b/>
          <w:iCs/>
          <w:sz w:val="22"/>
          <w:szCs w:val="22"/>
        </w:rPr>
      </w:pPr>
      <w:r>
        <w:rPr>
          <w:b/>
          <w:iCs/>
          <w:sz w:val="22"/>
          <w:szCs w:val="22"/>
        </w:rPr>
        <w:t>REGLEMENT DE LA CONSULTATION</w:t>
      </w:r>
    </w:p>
    <w:p w:rsidR="00A455A8" w:rsidRPr="00B307A2" w:rsidRDefault="00A455A8" w:rsidP="00254BB9">
      <w:pPr>
        <w:pBdr>
          <w:top w:val="single" w:sz="4" w:space="1" w:color="auto"/>
          <w:left w:val="single" w:sz="4" w:space="4" w:color="auto"/>
          <w:bottom w:val="single" w:sz="4" w:space="1" w:color="auto"/>
          <w:right w:val="single" w:sz="4" w:space="4" w:color="auto"/>
        </w:pBdr>
        <w:jc w:val="center"/>
        <w:rPr>
          <w:b/>
          <w:iCs/>
          <w:sz w:val="22"/>
          <w:szCs w:val="22"/>
        </w:rPr>
      </w:pPr>
    </w:p>
    <w:p w:rsidR="00D46568" w:rsidRPr="00B307A2" w:rsidRDefault="00D46568" w:rsidP="00EA091A">
      <w:pPr>
        <w:pBdr>
          <w:top w:val="single" w:sz="4" w:space="1" w:color="auto"/>
          <w:left w:val="single" w:sz="4" w:space="4" w:color="auto"/>
          <w:bottom w:val="single" w:sz="4" w:space="1" w:color="auto"/>
          <w:right w:val="single" w:sz="4" w:space="4" w:color="auto"/>
        </w:pBdr>
        <w:jc w:val="center"/>
        <w:rPr>
          <w:b/>
          <w:iCs/>
          <w:sz w:val="22"/>
          <w:szCs w:val="22"/>
        </w:rPr>
      </w:pPr>
      <w:r w:rsidRPr="00B307A2">
        <w:rPr>
          <w:b/>
          <w:iCs/>
          <w:sz w:val="22"/>
          <w:szCs w:val="22"/>
        </w:rPr>
        <w:t xml:space="preserve">OBJET : PRESTATIONS DE </w:t>
      </w:r>
      <w:r w:rsidR="00EA091A" w:rsidRPr="00B307A2">
        <w:rPr>
          <w:b/>
          <w:iCs/>
          <w:sz w:val="22"/>
          <w:szCs w:val="22"/>
        </w:rPr>
        <w:t>_____________________</w:t>
      </w:r>
    </w:p>
    <w:p w:rsidR="00A455A8" w:rsidRPr="00B307A2" w:rsidRDefault="00A455A8" w:rsidP="00254BB9">
      <w:pPr>
        <w:pBdr>
          <w:top w:val="single" w:sz="4" w:space="1" w:color="auto"/>
          <w:left w:val="single" w:sz="4" w:space="4" w:color="auto"/>
          <w:bottom w:val="single" w:sz="4" w:space="1" w:color="auto"/>
          <w:right w:val="single" w:sz="4" w:space="4" w:color="auto"/>
        </w:pBdr>
        <w:jc w:val="center"/>
        <w:rPr>
          <w:b/>
          <w:iCs/>
          <w:sz w:val="22"/>
          <w:szCs w:val="22"/>
        </w:rPr>
      </w:pPr>
    </w:p>
    <w:p w:rsidR="00254BB9" w:rsidRPr="00B307A2" w:rsidRDefault="00254BB9" w:rsidP="00254BB9">
      <w:pPr>
        <w:rPr>
          <w:i/>
          <w:iCs/>
          <w:sz w:val="22"/>
          <w:szCs w:val="22"/>
        </w:rPr>
      </w:pPr>
    </w:p>
    <w:p w:rsidR="00254BB9" w:rsidRPr="00B307A2" w:rsidRDefault="00254BB9" w:rsidP="00254BB9">
      <w:pPr>
        <w:jc w:val="both"/>
        <w:rPr>
          <w:sz w:val="22"/>
          <w:szCs w:val="22"/>
        </w:rPr>
      </w:pPr>
    </w:p>
    <w:p w:rsidR="004D0CA0" w:rsidRPr="00B307A2" w:rsidRDefault="004D0CA0" w:rsidP="00254BB9">
      <w:pPr>
        <w:jc w:val="both"/>
        <w:rPr>
          <w:sz w:val="22"/>
          <w:szCs w:val="22"/>
        </w:rPr>
      </w:pPr>
      <w:r w:rsidRPr="00B307A2">
        <w:rPr>
          <w:sz w:val="22"/>
          <w:szCs w:val="22"/>
        </w:rPr>
        <w:t xml:space="preserve">La direction </w:t>
      </w:r>
      <w:r w:rsidR="00EA091A" w:rsidRPr="00B307A2">
        <w:rPr>
          <w:sz w:val="22"/>
          <w:szCs w:val="22"/>
        </w:rPr>
        <w:t>______________________________</w:t>
      </w:r>
      <w:r w:rsidRPr="00B307A2">
        <w:rPr>
          <w:sz w:val="22"/>
          <w:szCs w:val="22"/>
        </w:rPr>
        <w:t xml:space="preserve"> lance, pour le compte</w:t>
      </w:r>
      <w:r w:rsidR="00AE5958">
        <w:rPr>
          <w:sz w:val="22"/>
          <w:szCs w:val="22"/>
        </w:rPr>
        <w:t xml:space="preserve"> de</w:t>
      </w:r>
      <w:r w:rsidRPr="00B307A2">
        <w:rPr>
          <w:sz w:val="22"/>
          <w:szCs w:val="22"/>
        </w:rPr>
        <w:t xml:space="preserve"> </w:t>
      </w:r>
      <w:r w:rsidR="00AE5958">
        <w:rPr>
          <w:color w:val="0070C0"/>
          <w:sz w:val="22"/>
          <w:szCs w:val="22"/>
        </w:rPr>
        <w:t>[acheteur public, collectivité ou établissement public]</w:t>
      </w:r>
      <w:r w:rsidRPr="00B307A2">
        <w:rPr>
          <w:sz w:val="22"/>
          <w:szCs w:val="22"/>
        </w:rPr>
        <w:t>, une consultation pour les prestations de :</w:t>
      </w:r>
    </w:p>
    <w:p w:rsidR="00A455A8" w:rsidRPr="00B307A2" w:rsidRDefault="00A455A8" w:rsidP="00254BB9">
      <w:pPr>
        <w:jc w:val="both"/>
        <w:rPr>
          <w:sz w:val="22"/>
          <w:szCs w:val="22"/>
        </w:rPr>
      </w:pPr>
    </w:p>
    <w:p w:rsidR="00A455A8" w:rsidRPr="00B307A2" w:rsidRDefault="00EA091A" w:rsidP="00912C23">
      <w:pPr>
        <w:jc w:val="center"/>
        <w:rPr>
          <w:b/>
          <w:sz w:val="22"/>
          <w:szCs w:val="22"/>
        </w:rPr>
      </w:pPr>
      <w:r w:rsidRPr="00B307A2">
        <w:rPr>
          <w:b/>
          <w:sz w:val="22"/>
          <w:szCs w:val="22"/>
        </w:rPr>
        <w:t>____________________________</w:t>
      </w:r>
    </w:p>
    <w:p w:rsidR="004D0CA0" w:rsidRPr="00B307A2" w:rsidRDefault="004D0CA0" w:rsidP="00254BB9">
      <w:pPr>
        <w:jc w:val="both"/>
        <w:rPr>
          <w:sz w:val="22"/>
          <w:szCs w:val="22"/>
        </w:rPr>
      </w:pPr>
    </w:p>
    <w:p w:rsidR="00912C23" w:rsidRPr="00B307A2" w:rsidRDefault="00912C23" w:rsidP="00254BB9">
      <w:pPr>
        <w:jc w:val="both"/>
        <w:rPr>
          <w:sz w:val="22"/>
          <w:szCs w:val="22"/>
        </w:rPr>
      </w:pPr>
    </w:p>
    <w:p w:rsidR="00A455A8" w:rsidRPr="00AC4B69" w:rsidRDefault="00A455A8" w:rsidP="00254BB9">
      <w:pPr>
        <w:jc w:val="both"/>
        <w:rPr>
          <w:b/>
          <w:sz w:val="22"/>
          <w:szCs w:val="22"/>
          <w:u w:val="single"/>
        </w:rPr>
      </w:pPr>
      <w:r w:rsidRPr="00AC4B69">
        <w:rPr>
          <w:b/>
          <w:sz w:val="22"/>
          <w:szCs w:val="22"/>
          <w:u w:val="single"/>
        </w:rPr>
        <w:t>1 – Contexte réglementaire</w:t>
      </w:r>
    </w:p>
    <w:p w:rsidR="00912C23" w:rsidRPr="00B307A2" w:rsidRDefault="00912C23" w:rsidP="00A455A8">
      <w:pPr>
        <w:jc w:val="both"/>
        <w:rPr>
          <w:sz w:val="22"/>
          <w:szCs w:val="22"/>
        </w:rPr>
      </w:pPr>
    </w:p>
    <w:p w:rsidR="004529A5" w:rsidRPr="00B307A2" w:rsidRDefault="004529A5" w:rsidP="004529A5">
      <w:pPr>
        <w:jc w:val="both"/>
        <w:rPr>
          <w:sz w:val="22"/>
          <w:szCs w:val="22"/>
        </w:rPr>
      </w:pPr>
      <w:r w:rsidRPr="00B307A2">
        <w:rPr>
          <w:sz w:val="22"/>
          <w:szCs w:val="22"/>
        </w:rPr>
        <w:t>Le contrat à passer est un contrat administratif conclu pour répondre aux besoins de l’acheteur public en matière de fournitures, services ou travaux.</w:t>
      </w:r>
    </w:p>
    <w:p w:rsidR="004529A5" w:rsidRPr="00B307A2" w:rsidRDefault="004529A5" w:rsidP="004529A5">
      <w:pPr>
        <w:jc w:val="both"/>
        <w:rPr>
          <w:sz w:val="22"/>
          <w:szCs w:val="22"/>
        </w:rPr>
      </w:pPr>
    </w:p>
    <w:sdt>
      <w:sdtPr>
        <w:rPr>
          <w:sz w:val="22"/>
          <w:szCs w:val="22"/>
        </w:rPr>
        <w:id w:val="724261942"/>
        <w:placeholder>
          <w:docPart w:val="DefaultPlaceholder_1082065158"/>
        </w:placeholder>
      </w:sdtPr>
      <w:sdtEndPr/>
      <w:sdtContent>
        <w:p w:rsidR="004529A5" w:rsidRDefault="00683324" w:rsidP="004529A5">
          <w:pPr>
            <w:jc w:val="both"/>
            <w:rPr>
              <w:sz w:val="22"/>
              <w:szCs w:val="22"/>
            </w:rPr>
          </w:pPr>
          <w:sdt>
            <w:sdtPr>
              <w:rPr>
                <w:sz w:val="22"/>
                <w:szCs w:val="22"/>
              </w:rPr>
              <w:id w:val="-1092850607"/>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t xml:space="preserve"> </w:t>
          </w:r>
          <w:r w:rsidR="004529A5">
            <w:rPr>
              <w:sz w:val="22"/>
              <w:szCs w:val="22"/>
            </w:rPr>
            <w:t>Compte tenu de toutes les possibilités de commande, de durée, intégrant les reconductions éventuelles, prévues dans le contrat, s</w:t>
          </w:r>
          <w:r w:rsidR="004529A5" w:rsidRPr="007143D5">
            <w:rPr>
              <w:sz w:val="22"/>
              <w:szCs w:val="22"/>
            </w:rPr>
            <w:t xml:space="preserve">on montant estimé est </w:t>
          </w:r>
          <w:r w:rsidR="004529A5" w:rsidRPr="00C50ED1">
            <w:rPr>
              <w:b/>
              <w:sz w:val="22"/>
              <w:szCs w:val="22"/>
            </w:rPr>
            <w:t>inférieur</w:t>
          </w:r>
          <w:r w:rsidR="004529A5" w:rsidRPr="007143D5">
            <w:rPr>
              <w:sz w:val="22"/>
              <w:szCs w:val="22"/>
            </w:rPr>
            <w:t xml:space="preserve"> au seuil des marchés publics défini à l’article 1er de la délibération n° 424 du 20 mars 2019 portant réglementation des marchés publics</w:t>
          </w:r>
          <w:r w:rsidR="00C50ED1">
            <w:rPr>
              <w:sz w:val="22"/>
              <w:szCs w:val="22"/>
            </w:rPr>
            <w:t xml:space="preserve"> (20 MF HT)</w:t>
          </w:r>
          <w:r w:rsidR="004529A5" w:rsidRPr="007143D5">
            <w:rPr>
              <w:sz w:val="22"/>
              <w:szCs w:val="22"/>
            </w:rPr>
            <w:t>.</w:t>
          </w:r>
        </w:p>
        <w:p w:rsidR="004529A5" w:rsidRPr="00B307A2" w:rsidRDefault="004529A5" w:rsidP="004529A5">
          <w:pPr>
            <w:jc w:val="both"/>
            <w:rPr>
              <w:sz w:val="22"/>
              <w:szCs w:val="22"/>
            </w:rPr>
          </w:pPr>
          <w:r>
            <w:rPr>
              <w:sz w:val="22"/>
              <w:szCs w:val="22"/>
            </w:rPr>
            <w:t>En conséquence, il n’est</w:t>
          </w:r>
          <w:r w:rsidRPr="00B307A2">
            <w:rPr>
              <w:sz w:val="22"/>
              <w:szCs w:val="22"/>
            </w:rPr>
            <w:t xml:space="preserve"> pas assujetti aux règles de passation de </w:t>
          </w:r>
          <w:r>
            <w:rPr>
              <w:sz w:val="22"/>
              <w:szCs w:val="22"/>
            </w:rPr>
            <w:t xml:space="preserve">la </w:t>
          </w:r>
          <w:r w:rsidRPr="00B307A2">
            <w:rPr>
              <w:sz w:val="22"/>
              <w:szCs w:val="22"/>
            </w:rPr>
            <w:t>délibération</w:t>
          </w:r>
          <w:r>
            <w:rPr>
              <w:sz w:val="22"/>
              <w:szCs w:val="22"/>
            </w:rPr>
            <w:t xml:space="preserve"> susmentionnée. Toutefois, sa procédure de passation</w:t>
          </w:r>
          <w:r w:rsidRPr="00B307A2">
            <w:rPr>
              <w:sz w:val="22"/>
              <w:szCs w:val="22"/>
            </w:rPr>
            <w:t xml:space="preserve"> reste soumis</w:t>
          </w:r>
          <w:r>
            <w:rPr>
              <w:sz w:val="22"/>
              <w:szCs w:val="22"/>
            </w:rPr>
            <w:t>e</w:t>
          </w:r>
          <w:r w:rsidRPr="00B307A2">
            <w:rPr>
              <w:sz w:val="22"/>
              <w:szCs w:val="22"/>
            </w:rPr>
            <w:t xml:space="preserve"> aux principes de libre accès à la commande publique, </w:t>
          </w:r>
          <w:r>
            <w:rPr>
              <w:sz w:val="22"/>
              <w:szCs w:val="22"/>
            </w:rPr>
            <w:t>d’</w:t>
          </w:r>
          <w:r w:rsidRPr="00B307A2">
            <w:rPr>
              <w:sz w:val="22"/>
              <w:szCs w:val="22"/>
            </w:rPr>
            <w:t>égalité de traitement des candidats et de transparence des procédures définies à l’article 22.17° de la loi organique n° 99-209 du 19 mars 1999 relative à la Nouvelle-Calédonie.</w:t>
          </w:r>
        </w:p>
        <w:p w:rsidR="004529A5" w:rsidRPr="007143D5" w:rsidRDefault="00683324" w:rsidP="004529A5">
          <w:pPr>
            <w:jc w:val="both"/>
            <w:rPr>
              <w:sz w:val="22"/>
              <w:szCs w:val="22"/>
            </w:rPr>
          </w:pPr>
        </w:p>
      </w:sdtContent>
    </w:sdt>
    <w:sdt>
      <w:sdtPr>
        <w:rPr>
          <w:sz w:val="22"/>
        </w:rPr>
        <w:id w:val="2060355692"/>
        <w:placeholder>
          <w:docPart w:val="DefaultPlaceholder_1082065158"/>
        </w:placeholder>
      </w:sdtPr>
      <w:sdtEndPr>
        <w:rPr>
          <w:szCs w:val="22"/>
        </w:rPr>
      </w:sdtEndPr>
      <w:sdtContent>
        <w:p w:rsidR="004529A5" w:rsidRDefault="00683324" w:rsidP="004529A5">
          <w:pPr>
            <w:jc w:val="both"/>
            <w:rPr>
              <w:sz w:val="22"/>
              <w:szCs w:val="22"/>
            </w:rPr>
          </w:pPr>
          <w:sdt>
            <w:sdtPr>
              <w:rPr>
                <w:sz w:val="22"/>
              </w:rPr>
              <w:id w:val="-1781716596"/>
              <w14:checkbox>
                <w14:checked w14:val="0"/>
                <w14:checkedState w14:val="2612" w14:font="MS Gothic"/>
                <w14:uncheckedState w14:val="2610" w14:font="MS Gothic"/>
              </w14:checkbox>
            </w:sdtPr>
            <w:sdtEndPr/>
            <w:sdtContent>
              <w:r w:rsidR="004529A5" w:rsidRPr="00D72C55">
                <w:rPr>
                  <w:rFonts w:ascii="MS Gothic" w:eastAsia="MS Gothic" w:hAnsi="MS Gothic" w:hint="eastAsia"/>
                  <w:sz w:val="22"/>
                </w:rPr>
                <w:t>☐</w:t>
              </w:r>
            </w:sdtContent>
          </w:sdt>
          <w:r w:rsidR="004529A5" w:rsidRPr="00D72C55">
            <w:rPr>
              <w:sz w:val="24"/>
              <w:szCs w:val="22"/>
            </w:rPr>
            <w:t xml:space="preserve"> </w:t>
          </w:r>
          <w:r w:rsidR="004529A5">
            <w:rPr>
              <w:sz w:val="22"/>
              <w:szCs w:val="22"/>
            </w:rPr>
            <w:t xml:space="preserve">Il correspond au cas (résumé) ci-après des contrats ou commandes définis à l’article 2-1, I de la </w:t>
          </w:r>
          <w:r w:rsidR="004529A5" w:rsidRPr="007143D5">
            <w:rPr>
              <w:sz w:val="22"/>
              <w:szCs w:val="22"/>
            </w:rPr>
            <w:t>délibération n° 424 du 20 mars 2019 portant réglementation des marchés publics</w:t>
          </w:r>
          <w:r w:rsidR="004529A5">
            <w:rPr>
              <w:sz w:val="22"/>
              <w:szCs w:val="22"/>
            </w:rPr>
            <w:t xml:space="preserve">, dont le montant est </w:t>
          </w:r>
          <w:r w:rsidR="004529A5" w:rsidRPr="00C50ED1">
            <w:rPr>
              <w:b/>
              <w:sz w:val="22"/>
              <w:szCs w:val="22"/>
            </w:rPr>
            <w:t>supérieur</w:t>
          </w:r>
          <w:r w:rsidR="004529A5">
            <w:rPr>
              <w:sz w:val="22"/>
              <w:szCs w:val="22"/>
            </w:rPr>
            <w:t xml:space="preserve"> au seuil des marchés publics </w:t>
          </w:r>
          <w:r w:rsidR="004529A5" w:rsidRPr="007143D5">
            <w:rPr>
              <w:sz w:val="22"/>
              <w:szCs w:val="22"/>
            </w:rPr>
            <w:t>défini à l’article 1er de la</w:t>
          </w:r>
          <w:r w:rsidR="004529A5">
            <w:rPr>
              <w:sz w:val="22"/>
              <w:szCs w:val="22"/>
            </w:rPr>
            <w:t xml:space="preserve"> même délibération</w:t>
          </w:r>
          <w:r w:rsidR="004529A5" w:rsidRPr="007143D5">
            <w:rPr>
              <w:sz w:val="22"/>
              <w:szCs w:val="22"/>
            </w:rPr>
            <w:t xml:space="preserve"> </w:t>
          </w:r>
          <w:r w:rsidR="00C50ED1">
            <w:rPr>
              <w:sz w:val="22"/>
              <w:szCs w:val="22"/>
            </w:rPr>
            <w:t xml:space="preserve">(20 MF) </w:t>
          </w:r>
          <w:r w:rsidR="004529A5">
            <w:rPr>
              <w:sz w:val="22"/>
              <w:szCs w:val="22"/>
            </w:rPr>
            <w:t>et pour lesquels les dispositions de la dite délibération ne sont pas applicables :</w:t>
          </w:r>
        </w:p>
        <w:sdt>
          <w:sdtPr>
            <w:rPr>
              <w:sz w:val="22"/>
              <w:szCs w:val="22"/>
            </w:rPr>
            <w:id w:val="-1442451834"/>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618982176"/>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D72C55">
                <w:rPr>
                  <w:sz w:val="22"/>
                  <w:szCs w:val="22"/>
                </w:rPr>
                <w:t xml:space="preserve"> </w:t>
              </w:r>
              <w:r w:rsidR="004529A5" w:rsidRPr="009A3236">
                <w:rPr>
                  <w:sz w:val="22"/>
                  <w:szCs w:val="22"/>
                </w:rPr>
                <w:t>1°) contrat</w:t>
              </w:r>
              <w:r w:rsidR="004529A5">
                <w:rPr>
                  <w:sz w:val="22"/>
                  <w:szCs w:val="22"/>
                </w:rPr>
                <w:t>s</w:t>
              </w:r>
              <w:r w:rsidR="004529A5" w:rsidRPr="009A3236">
                <w:rPr>
                  <w:sz w:val="22"/>
                  <w:szCs w:val="22"/>
                </w:rPr>
                <w:t xml:space="preserve"> conclu</w:t>
              </w:r>
              <w:r w:rsidR="004529A5">
                <w:rPr>
                  <w:sz w:val="22"/>
                  <w:szCs w:val="22"/>
                </w:rPr>
                <w:t>s</w:t>
              </w:r>
              <w:r w:rsidR="004529A5" w:rsidRPr="009A3236">
                <w:rPr>
                  <w:sz w:val="22"/>
                  <w:szCs w:val="22"/>
                </w:rPr>
                <w:t xml:space="preserve"> par </w:t>
              </w:r>
              <w:r w:rsidR="004529A5">
                <w:rPr>
                  <w:sz w:val="22"/>
                  <w:szCs w:val="22"/>
                </w:rPr>
                <w:t>des</w:t>
              </w:r>
              <w:r w:rsidR="004529A5" w:rsidRPr="009A3236">
                <w:rPr>
                  <w:sz w:val="22"/>
                  <w:szCs w:val="22"/>
                </w:rPr>
                <w:t xml:space="preserve"> </w:t>
              </w:r>
              <w:r w:rsidR="004529A5">
                <w:rPr>
                  <w:sz w:val="22"/>
                  <w:szCs w:val="22"/>
                </w:rPr>
                <w:t>acheteurs publics assujettis à délibération susmentionnée,</w:t>
              </w:r>
              <w:r w:rsidR="004529A5" w:rsidRPr="009A3236">
                <w:rPr>
                  <w:sz w:val="22"/>
                  <w:szCs w:val="22"/>
                </w:rPr>
                <w:t xml:space="preserve"> entre </w:t>
              </w:r>
              <w:r w:rsidR="004529A5">
                <w:rPr>
                  <w:sz w:val="22"/>
                  <w:szCs w:val="22"/>
                </w:rPr>
                <w:t>eux,</w:t>
              </w:r>
              <w:r w:rsidR="004529A5" w:rsidRPr="009A3236">
                <w:rPr>
                  <w:sz w:val="22"/>
                  <w:szCs w:val="22"/>
                </w:rPr>
                <w:t xml:space="preserve"> ou avec les</w:t>
              </w:r>
              <w:r w:rsidR="004529A5">
                <w:rPr>
                  <w:sz w:val="22"/>
                  <w:szCs w:val="22"/>
                </w:rPr>
                <w:t xml:space="preserve"> </w:t>
              </w:r>
              <w:r w:rsidR="004529A5" w:rsidRPr="009A3236">
                <w:rPr>
                  <w:sz w:val="22"/>
                  <w:szCs w:val="22"/>
                </w:rPr>
                <w:t>services et ét</w:t>
              </w:r>
              <w:r w:rsidR="004529A5">
                <w:rPr>
                  <w:sz w:val="22"/>
                  <w:szCs w:val="22"/>
                </w:rPr>
                <w:t>ablissements publics de l’Etat.</w:t>
              </w:r>
            </w:p>
          </w:sdtContent>
        </w:sdt>
        <w:sdt>
          <w:sdtPr>
            <w:rPr>
              <w:sz w:val="22"/>
              <w:szCs w:val="22"/>
            </w:rPr>
            <w:id w:val="-2145109858"/>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1948459366"/>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2°) contrat</w:t>
              </w:r>
              <w:r w:rsidR="004529A5">
                <w:rPr>
                  <w:sz w:val="22"/>
                  <w:szCs w:val="22"/>
                </w:rPr>
                <w:t>s</w:t>
              </w:r>
              <w:r w:rsidR="004529A5" w:rsidRPr="009A3236">
                <w:rPr>
                  <w:sz w:val="22"/>
                  <w:szCs w:val="22"/>
                </w:rPr>
                <w:t xml:space="preserve"> conclu</w:t>
              </w:r>
              <w:r w:rsidR="004529A5">
                <w:rPr>
                  <w:sz w:val="22"/>
                  <w:szCs w:val="22"/>
                </w:rPr>
                <w:t>s</w:t>
              </w:r>
              <w:r w:rsidR="004529A5" w:rsidRPr="009A3236">
                <w:rPr>
                  <w:sz w:val="22"/>
                  <w:szCs w:val="22"/>
                </w:rPr>
                <w:t xml:space="preserve"> avec un cocontractant</w:t>
              </w:r>
              <w:r w:rsidR="004529A5">
                <w:rPr>
                  <w:sz w:val="22"/>
                  <w:szCs w:val="22"/>
                </w:rPr>
                <w:t xml:space="preserve"> en quasi-régie.</w:t>
              </w:r>
            </w:p>
          </w:sdtContent>
        </w:sdt>
        <w:sdt>
          <w:sdtPr>
            <w:rPr>
              <w:sz w:val="22"/>
              <w:szCs w:val="22"/>
            </w:rPr>
            <w:id w:val="-1840766928"/>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2030210512"/>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Pr>
                  <w:sz w:val="22"/>
                  <w:szCs w:val="22"/>
                </w:rPr>
                <w:t xml:space="preserve"> </w:t>
              </w:r>
              <w:r w:rsidR="004529A5" w:rsidRPr="009A3236">
                <w:rPr>
                  <w:sz w:val="22"/>
                  <w:szCs w:val="22"/>
                </w:rPr>
                <w:t>3°) commandes de travaux, fournitures ou services motivées par une urgence impérieuse résultant de</w:t>
              </w:r>
              <w:r w:rsidR="004529A5">
                <w:rPr>
                  <w:sz w:val="22"/>
                  <w:szCs w:val="22"/>
                </w:rPr>
                <w:t xml:space="preserve"> </w:t>
              </w:r>
              <w:r w:rsidR="004529A5" w:rsidRPr="009A3236">
                <w:rPr>
                  <w:sz w:val="22"/>
                  <w:szCs w:val="22"/>
                </w:rPr>
                <w:t>circonstances imprévisibles pour l</w:t>
              </w:r>
              <w:r w:rsidR="004529A5">
                <w:rPr>
                  <w:sz w:val="22"/>
                  <w:szCs w:val="22"/>
                </w:rPr>
                <w:t>’acheteur public</w:t>
              </w:r>
              <w:r w:rsidR="004529A5" w:rsidRPr="009A3236">
                <w:rPr>
                  <w:sz w:val="22"/>
                  <w:szCs w:val="22"/>
                </w:rPr>
                <w:t xml:space="preserve"> et n’étant pas de son fait, ces commandes étant</w:t>
              </w:r>
              <w:r w:rsidR="004529A5">
                <w:rPr>
                  <w:sz w:val="22"/>
                  <w:szCs w:val="22"/>
                </w:rPr>
                <w:t xml:space="preserve"> </w:t>
              </w:r>
              <w:r w:rsidR="004529A5" w:rsidRPr="009A3236">
                <w:rPr>
                  <w:sz w:val="22"/>
                  <w:szCs w:val="22"/>
                </w:rPr>
                <w:t>limitées aux prestations strictement nécessaires pour faire face au caract</w:t>
              </w:r>
              <w:r w:rsidR="004529A5">
                <w:rPr>
                  <w:sz w:val="22"/>
                  <w:szCs w:val="22"/>
                </w:rPr>
                <w:t>ère impérieux de cette urgence.</w:t>
              </w:r>
            </w:p>
          </w:sdtContent>
        </w:sdt>
        <w:sdt>
          <w:sdtPr>
            <w:rPr>
              <w:sz w:val="22"/>
              <w:szCs w:val="22"/>
            </w:rPr>
            <w:id w:val="321703816"/>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723642080"/>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4°) contrats qui ont pour objet l’acquisition, la location quelles qu’en soient les modalités financières</w:t>
              </w:r>
              <w:r w:rsidR="004529A5">
                <w:rPr>
                  <w:sz w:val="22"/>
                  <w:szCs w:val="22"/>
                </w:rPr>
                <w:t xml:space="preserve"> </w:t>
              </w:r>
              <w:r w:rsidR="004529A5" w:rsidRPr="009A3236">
                <w:rPr>
                  <w:sz w:val="22"/>
                  <w:szCs w:val="22"/>
                </w:rPr>
                <w:t>(notamment crédit-bail), de terrains, de bâtiments existants ou d’autres biens immeubles, ou qui concernent</w:t>
              </w:r>
              <w:r w:rsidR="004529A5">
                <w:rPr>
                  <w:sz w:val="22"/>
                  <w:szCs w:val="22"/>
                </w:rPr>
                <w:t xml:space="preserve"> d’autres droits sur ces biens.</w:t>
              </w:r>
            </w:p>
          </w:sdtContent>
        </w:sdt>
        <w:sdt>
          <w:sdtPr>
            <w:rPr>
              <w:sz w:val="22"/>
              <w:szCs w:val="22"/>
            </w:rPr>
            <w:id w:val="-464432058"/>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1861818784"/>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Pr>
                  <w:sz w:val="22"/>
                  <w:szCs w:val="22"/>
                </w:rPr>
                <w:t xml:space="preserve"> </w:t>
              </w:r>
              <w:r w:rsidR="004529A5" w:rsidRPr="009A3236">
                <w:rPr>
                  <w:sz w:val="22"/>
                  <w:szCs w:val="22"/>
                </w:rPr>
                <w:t>5°) contrats ayant pour objet l’abonnement aux services publics industriels et commerciaux tels que l’eau,</w:t>
              </w:r>
              <w:r w:rsidR="004529A5">
                <w:rPr>
                  <w:sz w:val="22"/>
                  <w:szCs w:val="22"/>
                </w:rPr>
                <w:t xml:space="preserve"> </w:t>
              </w:r>
              <w:r w:rsidR="004529A5" w:rsidRPr="009A3236">
                <w:rPr>
                  <w:sz w:val="22"/>
                  <w:szCs w:val="22"/>
                </w:rPr>
                <w:t>l’assainissement, l’électricité, le</w:t>
              </w:r>
              <w:r w:rsidR="004529A5">
                <w:rPr>
                  <w:sz w:val="22"/>
                  <w:szCs w:val="22"/>
                </w:rPr>
                <w:t>s postes et télécommunications.</w:t>
              </w:r>
            </w:p>
          </w:sdtContent>
        </w:sdt>
        <w:sdt>
          <w:sdtPr>
            <w:rPr>
              <w:sz w:val="22"/>
              <w:szCs w:val="22"/>
            </w:rPr>
            <w:id w:val="1210609821"/>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242616243"/>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6°) contrats d’achat d’œuvres et d’objets d’art, d’objets d’antiquité et de collection, et de prestations</w:t>
              </w:r>
              <w:r w:rsidR="004529A5">
                <w:rPr>
                  <w:sz w:val="22"/>
                  <w:szCs w:val="22"/>
                </w:rPr>
                <w:t xml:space="preserve"> artistiques.</w:t>
              </w:r>
            </w:p>
          </w:sdtContent>
        </w:sdt>
        <w:sdt>
          <w:sdtPr>
            <w:rPr>
              <w:sz w:val="22"/>
              <w:szCs w:val="22"/>
            </w:rPr>
            <w:id w:val="-47382889"/>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639540293"/>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Pr>
                  <w:sz w:val="22"/>
                  <w:szCs w:val="22"/>
                </w:rPr>
                <w:t xml:space="preserve"> </w:t>
              </w:r>
              <w:r w:rsidR="004529A5" w:rsidRPr="009A3236">
                <w:rPr>
                  <w:sz w:val="22"/>
                  <w:szCs w:val="22"/>
                </w:rPr>
                <w:t>7°) contrats ayant pour objet les services d’incendie et de secours et les services de protection civile</w:t>
              </w:r>
              <w:r w:rsidR="004529A5">
                <w:rPr>
                  <w:sz w:val="22"/>
                  <w:szCs w:val="22"/>
                </w:rPr>
                <w:t xml:space="preserve"> </w:t>
              </w:r>
              <w:r w:rsidR="004529A5" w:rsidRPr="009A3236">
                <w:rPr>
                  <w:sz w:val="22"/>
                  <w:szCs w:val="22"/>
                </w:rPr>
                <w:t xml:space="preserve">lorsqu’ils sont conclus avec une organisation ou une </w:t>
              </w:r>
              <w:r w:rsidR="004529A5">
                <w:rPr>
                  <w:sz w:val="22"/>
                  <w:szCs w:val="22"/>
                </w:rPr>
                <w:t>association à but non lucratif.</w:t>
              </w:r>
            </w:p>
          </w:sdtContent>
        </w:sdt>
        <w:sdt>
          <w:sdtPr>
            <w:rPr>
              <w:sz w:val="22"/>
              <w:szCs w:val="22"/>
            </w:rPr>
            <w:id w:val="1910416773"/>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1803577386"/>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8°) contrats relatifs à l’a</w:t>
              </w:r>
              <w:r w:rsidR="004529A5">
                <w:rPr>
                  <w:sz w:val="22"/>
                  <w:szCs w:val="22"/>
                </w:rPr>
                <w:t>rbitrage, et à la conciliation.</w:t>
              </w:r>
            </w:p>
          </w:sdtContent>
        </w:sdt>
        <w:sdt>
          <w:sdtPr>
            <w:rPr>
              <w:sz w:val="22"/>
              <w:szCs w:val="22"/>
            </w:rPr>
            <w:id w:val="-402533864"/>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726343492"/>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9°) dépenses de l’Office de commercialisation et d’entreposage frigorifique pour ses achats de viande et de</w:t>
              </w:r>
              <w:r w:rsidR="004529A5">
                <w:rPr>
                  <w:sz w:val="22"/>
                  <w:szCs w:val="22"/>
                </w:rPr>
                <w:t xml:space="preserve"> pommes de terre.</w:t>
              </w:r>
            </w:p>
          </w:sdtContent>
        </w:sdt>
        <w:sdt>
          <w:sdtPr>
            <w:rPr>
              <w:sz w:val="22"/>
              <w:szCs w:val="22"/>
            </w:rPr>
            <w:id w:val="-25035517"/>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618424112"/>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10°) contrats de transport </w:t>
              </w:r>
              <w:r w:rsidR="004529A5">
                <w:rPr>
                  <w:sz w:val="22"/>
                  <w:szCs w:val="22"/>
                </w:rPr>
                <w:t>de voyageurs par voie aérienne.</w:t>
              </w:r>
            </w:p>
          </w:sdtContent>
        </w:sdt>
        <w:sdt>
          <w:sdtPr>
            <w:rPr>
              <w:sz w:val="22"/>
              <w:szCs w:val="22"/>
            </w:rPr>
            <w:id w:val="62305171"/>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496801737"/>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11°) contrats de référencement ou d’achats pour les produits pharmaceutiques, les réactifs de laboratoires,</w:t>
              </w:r>
              <w:r w:rsidR="004529A5">
                <w:rPr>
                  <w:sz w:val="22"/>
                  <w:szCs w:val="22"/>
                </w:rPr>
                <w:t xml:space="preserve"> </w:t>
              </w:r>
              <w:r w:rsidR="004529A5" w:rsidRPr="009A3236">
                <w:rPr>
                  <w:sz w:val="22"/>
                  <w:szCs w:val="22"/>
                </w:rPr>
                <w:t>les produits sanguins, les produits dérivés du sang et les produits à usage médical ou la fourniture médicale et</w:t>
              </w:r>
              <w:r w:rsidR="004529A5">
                <w:rPr>
                  <w:sz w:val="22"/>
                  <w:szCs w:val="22"/>
                </w:rPr>
                <w:t xml:space="preserve"> médicotechnique.</w:t>
              </w:r>
            </w:p>
          </w:sdtContent>
        </w:sdt>
        <w:sdt>
          <w:sdtPr>
            <w:rPr>
              <w:sz w:val="22"/>
              <w:szCs w:val="22"/>
            </w:rPr>
            <w:id w:val="-1021158819"/>
            <w:placeholder>
              <w:docPart w:val="DefaultPlaceholder_1082065158"/>
            </w:placeholder>
          </w:sdtPr>
          <w:sdtEndPr/>
          <w:sdtContent>
            <w:p w:rsidR="004529A5" w:rsidRPr="009A3236" w:rsidRDefault="00683324" w:rsidP="004529A5">
              <w:pPr>
                <w:ind w:left="851" w:hanging="284"/>
                <w:jc w:val="both"/>
                <w:rPr>
                  <w:sz w:val="22"/>
                  <w:szCs w:val="22"/>
                </w:rPr>
              </w:pPr>
              <w:sdt>
                <w:sdtPr>
                  <w:rPr>
                    <w:sz w:val="22"/>
                    <w:szCs w:val="22"/>
                  </w:rPr>
                  <w:id w:val="-1476675223"/>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12°) contrats conclus entre structures hospitalières établissant une coopération médicale ou de recherche</w:t>
              </w:r>
              <w:r w:rsidR="004529A5">
                <w:rPr>
                  <w:sz w:val="22"/>
                  <w:szCs w:val="22"/>
                </w:rPr>
                <w:t>.</w:t>
              </w:r>
            </w:p>
          </w:sdtContent>
        </w:sdt>
        <w:sdt>
          <w:sdtPr>
            <w:rPr>
              <w:sz w:val="22"/>
              <w:szCs w:val="22"/>
            </w:rPr>
            <w:id w:val="-985470115"/>
            <w:placeholder>
              <w:docPart w:val="DefaultPlaceholder_1082065158"/>
            </w:placeholder>
          </w:sdtPr>
          <w:sdtEndPr/>
          <w:sdtContent>
            <w:p w:rsidR="004529A5" w:rsidRDefault="00683324" w:rsidP="004529A5">
              <w:pPr>
                <w:ind w:left="851" w:hanging="284"/>
                <w:jc w:val="both"/>
                <w:rPr>
                  <w:sz w:val="22"/>
                  <w:szCs w:val="22"/>
                </w:rPr>
              </w:pPr>
              <w:sdt>
                <w:sdtPr>
                  <w:rPr>
                    <w:sz w:val="22"/>
                    <w:szCs w:val="22"/>
                  </w:rPr>
                  <w:id w:val="-353266024"/>
                  <w14:checkbox>
                    <w14:checked w14:val="0"/>
                    <w14:checkedState w14:val="2612" w14:font="MS Gothic"/>
                    <w14:uncheckedState w14:val="2610" w14:font="MS Gothic"/>
                  </w14:checkbox>
                </w:sdtPr>
                <w:sdtEndPr/>
                <w:sdtContent>
                  <w:r w:rsidR="004529A5" w:rsidRPr="00D72C55">
                    <w:rPr>
                      <w:rFonts w:ascii="MS Gothic" w:eastAsia="MS Gothic" w:hAnsi="MS Gothic" w:cs="MS Gothic" w:hint="eastAsia"/>
                      <w:sz w:val="22"/>
                      <w:szCs w:val="22"/>
                    </w:rPr>
                    <w:t>☐</w:t>
                  </w:r>
                </w:sdtContent>
              </w:sdt>
              <w:r w:rsidR="004529A5" w:rsidRPr="009A3236">
                <w:rPr>
                  <w:sz w:val="22"/>
                  <w:szCs w:val="22"/>
                </w:rPr>
                <w:t xml:space="preserve"> 13°) contrats, au sens de l’article 1984 du code civil, par lesquels les </w:t>
              </w:r>
              <w:r w:rsidR="004529A5">
                <w:rPr>
                  <w:sz w:val="22"/>
                  <w:szCs w:val="22"/>
                </w:rPr>
                <w:t>acheteurs publics assujettis à la délibération susmentionnée</w:t>
              </w:r>
              <w:r w:rsidR="004529A5" w:rsidRPr="009A3236">
                <w:rPr>
                  <w:sz w:val="22"/>
                  <w:szCs w:val="22"/>
                </w:rPr>
                <w:t xml:space="preserve"> confient à un mandataire, des missions de représentation et d’assistance à caractère administratif et</w:t>
              </w:r>
              <w:r w:rsidR="004529A5">
                <w:rPr>
                  <w:sz w:val="22"/>
                  <w:szCs w:val="22"/>
                </w:rPr>
                <w:t xml:space="preserve"> </w:t>
              </w:r>
              <w:r w:rsidR="004529A5" w:rsidRPr="009A3236">
                <w:rPr>
                  <w:sz w:val="22"/>
                  <w:szCs w:val="22"/>
                </w:rPr>
                <w:t>technique, en vue de la réalisation d’ouvrages de bâtiment ou d’infrastructure et des équipements destinés à</w:t>
              </w:r>
              <w:r w:rsidR="004529A5">
                <w:rPr>
                  <w:sz w:val="22"/>
                  <w:szCs w:val="22"/>
                </w:rPr>
                <w:t xml:space="preserve"> </w:t>
              </w:r>
              <w:r w:rsidR="004529A5" w:rsidRPr="009A3236">
                <w:rPr>
                  <w:sz w:val="22"/>
                  <w:szCs w:val="22"/>
                </w:rPr>
                <w:t xml:space="preserve">leur exploitation. </w:t>
              </w:r>
              <w:r w:rsidR="004529A5" w:rsidRPr="009A3236">
                <w:rPr>
                  <w:sz w:val="22"/>
                  <w:szCs w:val="22"/>
                </w:rPr>
                <w:cr/>
              </w:r>
            </w:p>
          </w:sdtContent>
        </w:sdt>
      </w:sdtContent>
    </w:sdt>
    <w:sdt>
      <w:sdtPr>
        <w:rPr>
          <w:sz w:val="22"/>
        </w:rPr>
        <w:id w:val="-1840297659"/>
        <w:placeholder>
          <w:docPart w:val="DefaultPlaceholder_1082065158"/>
        </w:placeholder>
      </w:sdtPr>
      <w:sdtEndPr>
        <w:rPr>
          <w:szCs w:val="22"/>
        </w:rPr>
      </w:sdtEndPr>
      <w:sdtContent>
        <w:p w:rsidR="004529A5" w:rsidRDefault="00683324" w:rsidP="004529A5">
          <w:pPr>
            <w:jc w:val="both"/>
            <w:rPr>
              <w:sz w:val="22"/>
              <w:szCs w:val="22"/>
            </w:rPr>
          </w:pPr>
          <w:sdt>
            <w:sdtPr>
              <w:rPr>
                <w:sz w:val="22"/>
              </w:rPr>
              <w:id w:val="-1814471587"/>
              <w14:checkbox>
                <w14:checked w14:val="0"/>
                <w14:checkedState w14:val="2612" w14:font="MS Gothic"/>
                <w14:uncheckedState w14:val="2610" w14:font="MS Gothic"/>
              </w14:checkbox>
            </w:sdtPr>
            <w:sdtEndPr/>
            <w:sdtContent>
              <w:r w:rsidR="004529A5" w:rsidRPr="00D72C55">
                <w:rPr>
                  <w:rFonts w:ascii="MS Gothic" w:eastAsia="MS Gothic" w:hAnsi="MS Gothic" w:hint="eastAsia"/>
                  <w:sz w:val="22"/>
                </w:rPr>
                <w:t>☐</w:t>
              </w:r>
            </w:sdtContent>
          </w:sdt>
          <w:r w:rsidR="004529A5" w:rsidRPr="00D72C55">
            <w:rPr>
              <w:sz w:val="24"/>
              <w:szCs w:val="22"/>
            </w:rPr>
            <w:t xml:space="preserve"> </w:t>
          </w:r>
          <w:r w:rsidR="004529A5">
            <w:rPr>
              <w:sz w:val="22"/>
              <w:szCs w:val="22"/>
            </w:rPr>
            <w:t xml:space="preserve">Il correspond au cas ci-après des contrats ou commandes définis à l’article 2-1, II de la </w:t>
          </w:r>
          <w:r w:rsidR="004529A5" w:rsidRPr="007143D5">
            <w:rPr>
              <w:sz w:val="22"/>
              <w:szCs w:val="22"/>
            </w:rPr>
            <w:t>délibération n° 424 du 20 mars 2019 portant réglementation des marchés publics</w:t>
          </w:r>
          <w:r w:rsidR="004529A5">
            <w:rPr>
              <w:sz w:val="22"/>
              <w:szCs w:val="22"/>
            </w:rPr>
            <w:t xml:space="preserve">, dont le montant est </w:t>
          </w:r>
          <w:r w:rsidR="004529A5" w:rsidRPr="00C50ED1">
            <w:rPr>
              <w:b/>
              <w:sz w:val="22"/>
              <w:szCs w:val="22"/>
            </w:rPr>
            <w:t>supérieur</w:t>
          </w:r>
          <w:r w:rsidR="004529A5">
            <w:rPr>
              <w:sz w:val="22"/>
              <w:szCs w:val="22"/>
            </w:rPr>
            <w:t xml:space="preserve"> au seuil des marchés publics </w:t>
          </w:r>
          <w:r w:rsidR="004529A5" w:rsidRPr="007143D5">
            <w:rPr>
              <w:sz w:val="22"/>
              <w:szCs w:val="22"/>
            </w:rPr>
            <w:t>défini à l’article 1er de la</w:t>
          </w:r>
          <w:r w:rsidR="004529A5">
            <w:rPr>
              <w:sz w:val="22"/>
              <w:szCs w:val="22"/>
            </w:rPr>
            <w:t>dite</w:t>
          </w:r>
          <w:r w:rsidR="004529A5" w:rsidRPr="007143D5">
            <w:rPr>
              <w:sz w:val="22"/>
              <w:szCs w:val="22"/>
            </w:rPr>
            <w:t xml:space="preserve"> délibération</w:t>
          </w:r>
          <w:r w:rsidR="00C50ED1">
            <w:rPr>
              <w:sz w:val="22"/>
              <w:szCs w:val="22"/>
            </w:rPr>
            <w:t xml:space="preserve"> (20 MF HT)</w:t>
          </w:r>
          <w:r w:rsidR="004529A5">
            <w:rPr>
              <w:sz w:val="22"/>
              <w:szCs w:val="22"/>
            </w:rPr>
            <w:t xml:space="preserve">, et pour lesquels les dispositions de ladite délibération ne sont pas applicables, mais dont la passation reste assujettie à des procédures comprenant au minimum une mise en compétition </w:t>
          </w:r>
          <w:r w:rsidR="004529A5" w:rsidRPr="00322736">
            <w:rPr>
              <w:sz w:val="22"/>
              <w:szCs w:val="22"/>
            </w:rPr>
            <w:t>de plusieurs opérateurs économiques</w:t>
          </w:r>
          <w:r w:rsidR="004529A5">
            <w:rPr>
              <w:sz w:val="22"/>
              <w:szCs w:val="22"/>
            </w:rPr>
            <w:t xml:space="preserve"> </w:t>
          </w:r>
          <w:r w:rsidR="004529A5" w:rsidRPr="00322736">
            <w:rPr>
              <w:sz w:val="22"/>
              <w:szCs w:val="22"/>
            </w:rPr>
            <w:t xml:space="preserve">adaptée à l'état du secteur concurrentiel, </w:t>
          </w:r>
          <w:r w:rsidR="004529A5">
            <w:rPr>
              <w:sz w:val="22"/>
              <w:szCs w:val="22"/>
            </w:rPr>
            <w:t xml:space="preserve">à </w:t>
          </w:r>
          <w:r w:rsidR="004529A5" w:rsidRPr="00322736">
            <w:rPr>
              <w:sz w:val="22"/>
              <w:szCs w:val="22"/>
            </w:rPr>
            <w:t>la communication des critères de jugement des offres aux candidats,</w:t>
          </w:r>
          <w:r w:rsidR="004529A5">
            <w:rPr>
              <w:sz w:val="22"/>
              <w:szCs w:val="22"/>
            </w:rPr>
            <w:t xml:space="preserve"> et à</w:t>
          </w:r>
          <w:r w:rsidR="004529A5" w:rsidRPr="00322736">
            <w:rPr>
              <w:sz w:val="22"/>
              <w:szCs w:val="22"/>
            </w:rPr>
            <w:t xml:space="preserve"> des mesures de traçabilité des échanges et du dépôt des offres</w:t>
          </w:r>
          <w:r w:rsidR="004529A5">
            <w:rPr>
              <w:sz w:val="22"/>
              <w:szCs w:val="22"/>
            </w:rPr>
            <w:t> :</w:t>
          </w:r>
        </w:p>
        <w:sdt>
          <w:sdtPr>
            <w:rPr>
              <w:sz w:val="22"/>
              <w:szCs w:val="22"/>
            </w:rPr>
            <w:id w:val="-792284067"/>
            <w:placeholder>
              <w:docPart w:val="DefaultPlaceholder_1082065158"/>
            </w:placeholder>
          </w:sdtPr>
          <w:sdtEndPr/>
          <w:sdtContent>
            <w:p w:rsidR="004529A5" w:rsidRPr="00322736" w:rsidRDefault="00683324" w:rsidP="004529A5">
              <w:pPr>
                <w:ind w:left="851" w:hanging="284"/>
                <w:jc w:val="both"/>
                <w:rPr>
                  <w:sz w:val="22"/>
                  <w:szCs w:val="22"/>
                </w:rPr>
              </w:pPr>
              <w:sdt>
                <w:sdtPr>
                  <w:rPr>
                    <w:sz w:val="22"/>
                    <w:szCs w:val="22"/>
                  </w:rPr>
                  <w:id w:val="1627187589"/>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1°) transport de fond</w:t>
              </w:r>
              <w:r w:rsidR="004529A5">
                <w:rPr>
                  <w:sz w:val="22"/>
                  <w:szCs w:val="22"/>
                </w:rPr>
                <w:t>.</w:t>
              </w:r>
            </w:p>
          </w:sdtContent>
        </w:sdt>
        <w:sdt>
          <w:sdtPr>
            <w:rPr>
              <w:sz w:val="22"/>
              <w:szCs w:val="22"/>
            </w:rPr>
            <w:id w:val="-778259634"/>
            <w:placeholder>
              <w:docPart w:val="DefaultPlaceholder_1082065158"/>
            </w:placeholder>
          </w:sdtPr>
          <w:sdtEndPr/>
          <w:sdtContent>
            <w:p w:rsidR="004529A5" w:rsidRPr="00322736" w:rsidRDefault="00683324" w:rsidP="004529A5">
              <w:pPr>
                <w:ind w:left="851" w:hanging="284"/>
                <w:jc w:val="both"/>
                <w:rPr>
                  <w:sz w:val="22"/>
                  <w:szCs w:val="22"/>
                </w:rPr>
              </w:pPr>
              <w:sdt>
                <w:sdtPr>
                  <w:rPr>
                    <w:sz w:val="22"/>
                    <w:szCs w:val="22"/>
                  </w:rPr>
                  <w:id w:val="909963537"/>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2°) emprunts ou engagements financiers, qu’ils soient destinés à la</w:t>
              </w:r>
              <w:r w:rsidR="004529A5">
                <w:rPr>
                  <w:sz w:val="22"/>
                  <w:szCs w:val="22"/>
                </w:rPr>
                <w:t xml:space="preserve"> </w:t>
              </w:r>
              <w:r w:rsidR="004529A5" w:rsidRPr="00322736">
                <w:rPr>
                  <w:sz w:val="22"/>
                  <w:szCs w:val="22"/>
                </w:rPr>
                <w:t>couverture d’un besoin d</w:t>
              </w:r>
              <w:r w:rsidR="004529A5">
                <w:rPr>
                  <w:sz w:val="22"/>
                  <w:szCs w:val="22"/>
                </w:rPr>
                <w:t>e financement ou de trésorerie.</w:t>
              </w:r>
            </w:p>
          </w:sdtContent>
        </w:sdt>
        <w:sdt>
          <w:sdtPr>
            <w:rPr>
              <w:sz w:val="22"/>
              <w:szCs w:val="22"/>
            </w:rPr>
            <w:id w:val="1602145654"/>
            <w:placeholder>
              <w:docPart w:val="DefaultPlaceholder_1082065158"/>
            </w:placeholder>
          </w:sdtPr>
          <w:sdtEndPr/>
          <w:sdtContent>
            <w:p w:rsidR="004529A5" w:rsidRDefault="00683324" w:rsidP="004529A5">
              <w:pPr>
                <w:ind w:left="851" w:hanging="284"/>
                <w:jc w:val="both"/>
                <w:rPr>
                  <w:sz w:val="22"/>
                  <w:szCs w:val="22"/>
                </w:rPr>
              </w:pPr>
              <w:sdt>
                <w:sdtPr>
                  <w:rPr>
                    <w:sz w:val="22"/>
                    <w:szCs w:val="22"/>
                  </w:rPr>
                  <w:id w:val="1597285230"/>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3°) commande d’œuvres et d’objets d’art</w:t>
              </w:r>
              <w:r w:rsidR="004529A5">
                <w:rPr>
                  <w:sz w:val="22"/>
                  <w:szCs w:val="22"/>
                </w:rPr>
                <w:t>.</w:t>
              </w:r>
            </w:p>
          </w:sdtContent>
        </w:sdt>
        <w:sdt>
          <w:sdtPr>
            <w:rPr>
              <w:rFonts w:ascii="MS Gothic" w:eastAsia="MS Gothic" w:hAnsi="MS Gothic"/>
              <w:sz w:val="22"/>
              <w:szCs w:val="22"/>
            </w:rPr>
            <w:id w:val="518895574"/>
            <w:placeholder>
              <w:docPart w:val="DefaultPlaceholder_1082065158"/>
            </w:placeholder>
          </w:sdtPr>
          <w:sdtEndPr>
            <w:rPr>
              <w:rFonts w:ascii="Times New Roman" w:eastAsia="Times New Roman" w:hAnsi="Times New Roman"/>
            </w:rPr>
          </w:sdtEndPr>
          <w:sdtContent>
            <w:p w:rsidR="004529A5" w:rsidRPr="00322736" w:rsidRDefault="00683324" w:rsidP="004529A5">
              <w:pPr>
                <w:ind w:left="851" w:hanging="284"/>
                <w:jc w:val="both"/>
                <w:rPr>
                  <w:sz w:val="22"/>
                  <w:szCs w:val="22"/>
                </w:rPr>
              </w:pPr>
              <w:sdt>
                <w:sdtPr>
                  <w:rPr>
                    <w:rFonts w:ascii="MS Gothic" w:eastAsia="MS Gothic" w:hAnsi="MS Gothic"/>
                    <w:sz w:val="22"/>
                    <w:szCs w:val="22"/>
                  </w:rPr>
                  <w:id w:val="609469439"/>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4°) services d’assuranc</w:t>
              </w:r>
              <w:r w:rsidR="004529A5">
                <w:rPr>
                  <w:sz w:val="22"/>
                  <w:szCs w:val="22"/>
                </w:rPr>
                <w:t>es.</w:t>
              </w:r>
            </w:p>
          </w:sdtContent>
        </w:sdt>
        <w:sdt>
          <w:sdtPr>
            <w:rPr>
              <w:rFonts w:ascii="MS Gothic" w:eastAsia="MS Gothic" w:hAnsi="MS Gothic"/>
              <w:sz w:val="22"/>
              <w:szCs w:val="22"/>
            </w:rPr>
            <w:id w:val="-144201842"/>
            <w:placeholder>
              <w:docPart w:val="DefaultPlaceholder_1082065158"/>
            </w:placeholder>
          </w:sdtPr>
          <w:sdtEndPr>
            <w:rPr>
              <w:rFonts w:ascii="Times New Roman" w:eastAsia="Times New Roman" w:hAnsi="Times New Roman"/>
            </w:rPr>
          </w:sdtEndPr>
          <w:sdtContent>
            <w:p w:rsidR="004529A5" w:rsidRPr="00322736" w:rsidRDefault="00683324" w:rsidP="004529A5">
              <w:pPr>
                <w:ind w:left="851" w:hanging="284"/>
                <w:jc w:val="both"/>
                <w:rPr>
                  <w:sz w:val="22"/>
                  <w:szCs w:val="22"/>
                </w:rPr>
              </w:pPr>
              <w:sdt>
                <w:sdtPr>
                  <w:rPr>
                    <w:rFonts w:ascii="MS Gothic" w:eastAsia="MS Gothic" w:hAnsi="MS Gothic"/>
                    <w:sz w:val="22"/>
                    <w:szCs w:val="22"/>
                  </w:rPr>
                  <w:id w:val="-1801147592"/>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 xml:space="preserve">5°) </w:t>
              </w:r>
              <w:r w:rsidR="004529A5">
                <w:rPr>
                  <w:sz w:val="22"/>
                  <w:szCs w:val="22"/>
                </w:rPr>
                <w:t xml:space="preserve">contrat passé par le </w:t>
              </w:r>
              <w:r w:rsidR="004529A5" w:rsidRPr="00322736">
                <w:rPr>
                  <w:sz w:val="22"/>
                  <w:szCs w:val="22"/>
                </w:rPr>
                <w:t>Fonds Nickel avec les entreprises éligibles du secteur minier pour les travaux</w:t>
              </w:r>
              <w:r w:rsidR="004529A5">
                <w:rPr>
                  <w:sz w:val="22"/>
                  <w:szCs w:val="22"/>
                </w:rPr>
                <w:t xml:space="preserve"> </w:t>
              </w:r>
              <w:r w:rsidR="004529A5" w:rsidRPr="00322736">
                <w:rPr>
                  <w:sz w:val="22"/>
                  <w:szCs w:val="22"/>
                </w:rPr>
                <w:t>relevant des mesures de soutien en faveur du secteur minier, lorsque la situation de crise a été déclarée par</w:t>
              </w:r>
              <w:r w:rsidR="004529A5">
                <w:rPr>
                  <w:sz w:val="22"/>
                  <w:szCs w:val="22"/>
                </w:rPr>
                <w:t xml:space="preserve"> </w:t>
              </w:r>
              <w:r w:rsidR="004529A5" w:rsidRPr="00322736">
                <w:rPr>
                  <w:sz w:val="22"/>
                  <w:szCs w:val="22"/>
                </w:rPr>
                <w:t>arrêté du gouvernement conformément à la délib</w:t>
              </w:r>
              <w:r w:rsidR="004529A5">
                <w:rPr>
                  <w:sz w:val="22"/>
                  <w:szCs w:val="22"/>
                </w:rPr>
                <w:t>ération n° 467 du 18 mars 2009.</w:t>
              </w:r>
            </w:p>
          </w:sdtContent>
        </w:sdt>
        <w:sdt>
          <w:sdtPr>
            <w:rPr>
              <w:rFonts w:ascii="MS Gothic" w:eastAsia="MS Gothic" w:hAnsi="MS Gothic"/>
              <w:sz w:val="22"/>
              <w:szCs w:val="22"/>
            </w:rPr>
            <w:id w:val="-836532050"/>
            <w:placeholder>
              <w:docPart w:val="DefaultPlaceholder_1082065158"/>
            </w:placeholder>
          </w:sdtPr>
          <w:sdtEndPr>
            <w:rPr>
              <w:rFonts w:ascii="Times New Roman" w:eastAsia="Times New Roman" w:hAnsi="Times New Roman"/>
            </w:rPr>
          </w:sdtEndPr>
          <w:sdtContent>
            <w:p w:rsidR="004529A5" w:rsidRPr="00322736" w:rsidRDefault="00683324" w:rsidP="004529A5">
              <w:pPr>
                <w:ind w:left="851" w:hanging="284"/>
                <w:jc w:val="both"/>
                <w:rPr>
                  <w:sz w:val="22"/>
                  <w:szCs w:val="22"/>
                </w:rPr>
              </w:pPr>
              <w:sdt>
                <w:sdtPr>
                  <w:rPr>
                    <w:rFonts w:ascii="MS Gothic" w:eastAsia="MS Gothic" w:hAnsi="MS Gothic"/>
                    <w:sz w:val="22"/>
                    <w:szCs w:val="22"/>
                  </w:rPr>
                  <w:id w:val="-1773073306"/>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 xml:space="preserve">6°) contrat par lequel </w:t>
              </w:r>
              <w:r w:rsidR="004529A5">
                <w:rPr>
                  <w:sz w:val="22"/>
                  <w:szCs w:val="22"/>
                </w:rPr>
                <w:t xml:space="preserve">il est </w:t>
              </w:r>
              <w:r w:rsidR="004529A5" w:rsidRPr="00322736">
                <w:rPr>
                  <w:sz w:val="22"/>
                  <w:szCs w:val="22"/>
                </w:rPr>
                <w:t>confi</w:t>
              </w:r>
              <w:r w:rsidR="004529A5">
                <w:rPr>
                  <w:sz w:val="22"/>
                  <w:szCs w:val="22"/>
                </w:rPr>
                <w:t>é</w:t>
              </w:r>
              <w:r w:rsidR="004529A5" w:rsidRPr="00322736">
                <w:rPr>
                  <w:sz w:val="22"/>
                  <w:szCs w:val="22"/>
                </w:rPr>
                <w:t xml:space="preserve"> à une structure publique ou</w:t>
              </w:r>
              <w:r w:rsidR="004529A5">
                <w:rPr>
                  <w:sz w:val="22"/>
                  <w:szCs w:val="22"/>
                </w:rPr>
                <w:t xml:space="preserve"> </w:t>
              </w:r>
              <w:r w:rsidR="004529A5" w:rsidRPr="00322736">
                <w:rPr>
                  <w:sz w:val="22"/>
                  <w:szCs w:val="22"/>
                </w:rPr>
                <w:t>privée, qualifiée d’opérateur non économique, la réalisation de travaux, services, ou fournitures, ayant pour</w:t>
              </w:r>
              <w:r w:rsidR="004529A5">
                <w:rPr>
                  <w:sz w:val="22"/>
                  <w:szCs w:val="22"/>
                </w:rPr>
                <w:t xml:space="preserve"> </w:t>
              </w:r>
              <w:r w:rsidR="004529A5" w:rsidRPr="00322736">
                <w:rPr>
                  <w:sz w:val="22"/>
                  <w:szCs w:val="22"/>
                </w:rPr>
                <w:t>objet l’insert</w:t>
              </w:r>
              <w:r w:rsidR="004529A5">
                <w:rPr>
                  <w:sz w:val="22"/>
                  <w:szCs w:val="22"/>
                </w:rPr>
                <w:t>ion sociale ou professionnelle.</w:t>
              </w:r>
            </w:p>
          </w:sdtContent>
        </w:sdt>
        <w:sdt>
          <w:sdtPr>
            <w:rPr>
              <w:rFonts w:ascii="MS Gothic" w:eastAsia="MS Gothic" w:hAnsi="MS Gothic"/>
              <w:sz w:val="22"/>
              <w:szCs w:val="22"/>
            </w:rPr>
            <w:id w:val="-550762118"/>
            <w:placeholder>
              <w:docPart w:val="DefaultPlaceholder_1082065158"/>
            </w:placeholder>
          </w:sdtPr>
          <w:sdtEndPr>
            <w:rPr>
              <w:rFonts w:ascii="Times New Roman" w:eastAsia="Times New Roman" w:hAnsi="Times New Roman"/>
            </w:rPr>
          </w:sdtEndPr>
          <w:sdtContent>
            <w:p w:rsidR="004529A5" w:rsidRPr="00322736" w:rsidRDefault="00683324" w:rsidP="004529A5">
              <w:pPr>
                <w:ind w:left="851" w:hanging="284"/>
                <w:jc w:val="both"/>
                <w:rPr>
                  <w:sz w:val="22"/>
                  <w:szCs w:val="22"/>
                </w:rPr>
              </w:pPr>
              <w:sdt>
                <w:sdtPr>
                  <w:rPr>
                    <w:rFonts w:ascii="MS Gothic" w:eastAsia="MS Gothic" w:hAnsi="MS Gothic"/>
                    <w:sz w:val="22"/>
                    <w:szCs w:val="22"/>
                  </w:rPr>
                  <w:id w:val="258034670"/>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sidRPr="00322736">
                <w:rPr>
                  <w:sz w:val="22"/>
                  <w:szCs w:val="22"/>
                </w:rPr>
                <w:t>7°) contrat</w:t>
              </w:r>
              <w:r w:rsidR="004529A5">
                <w:rPr>
                  <w:sz w:val="22"/>
                  <w:szCs w:val="22"/>
                </w:rPr>
                <w:t xml:space="preserve"> conclu</w:t>
              </w:r>
              <w:r w:rsidR="004529A5" w:rsidRPr="00322736">
                <w:rPr>
                  <w:sz w:val="22"/>
                  <w:szCs w:val="22"/>
                </w:rPr>
                <w:t xml:space="preserve"> par la Chambre d’agriculture de Nouvelle-Calédonie (CANC) pour ses activités</w:t>
              </w:r>
              <w:r w:rsidR="004529A5">
                <w:rPr>
                  <w:sz w:val="22"/>
                  <w:szCs w:val="22"/>
                </w:rPr>
                <w:t xml:space="preserve"> </w:t>
              </w:r>
              <w:r w:rsidR="004529A5" w:rsidRPr="00322736">
                <w:rPr>
                  <w:sz w:val="22"/>
                  <w:szCs w:val="22"/>
                </w:rPr>
                <w:t>spécifiques d’importation et de vente d’engrais aux agriculteu</w:t>
              </w:r>
              <w:r w:rsidR="004529A5">
                <w:rPr>
                  <w:sz w:val="22"/>
                  <w:szCs w:val="22"/>
                </w:rPr>
                <w:t>rs.</w:t>
              </w:r>
            </w:p>
          </w:sdtContent>
        </w:sdt>
        <w:sdt>
          <w:sdtPr>
            <w:rPr>
              <w:rFonts w:ascii="MS Gothic" w:eastAsia="MS Gothic" w:hAnsi="MS Gothic"/>
              <w:sz w:val="22"/>
              <w:szCs w:val="22"/>
            </w:rPr>
            <w:id w:val="1975333303"/>
            <w:placeholder>
              <w:docPart w:val="DefaultPlaceholder_1082065158"/>
            </w:placeholder>
          </w:sdtPr>
          <w:sdtEndPr>
            <w:rPr>
              <w:rFonts w:ascii="Times New Roman" w:eastAsia="Times New Roman" w:hAnsi="Times New Roman"/>
            </w:rPr>
          </w:sdtEndPr>
          <w:sdtContent>
            <w:p w:rsidR="004529A5" w:rsidRPr="00D72C55" w:rsidRDefault="00683324" w:rsidP="004529A5">
              <w:pPr>
                <w:ind w:left="851" w:hanging="284"/>
                <w:jc w:val="both"/>
                <w:rPr>
                  <w:sz w:val="22"/>
                  <w:szCs w:val="22"/>
                </w:rPr>
              </w:pPr>
              <w:sdt>
                <w:sdtPr>
                  <w:rPr>
                    <w:rFonts w:ascii="MS Gothic" w:eastAsia="MS Gothic" w:hAnsi="MS Gothic"/>
                    <w:sz w:val="22"/>
                    <w:szCs w:val="22"/>
                  </w:rPr>
                  <w:id w:val="-1544366310"/>
                  <w14:checkbox>
                    <w14:checked w14:val="0"/>
                    <w14:checkedState w14:val="2612" w14:font="MS Gothic"/>
                    <w14:uncheckedState w14:val="2610" w14:font="MS Gothic"/>
                  </w14:checkbox>
                </w:sdtPr>
                <w:sdtEndPr/>
                <w:sdtContent>
                  <w:r w:rsidR="004529A5">
                    <w:rPr>
                      <w:rFonts w:ascii="MS Gothic" w:eastAsia="MS Gothic" w:hAnsi="MS Gothic" w:hint="eastAsia"/>
                      <w:sz w:val="22"/>
                      <w:szCs w:val="22"/>
                    </w:rPr>
                    <w:t>☐</w:t>
                  </w:r>
                </w:sdtContent>
              </w:sdt>
              <w:r w:rsidR="004529A5" w:rsidRPr="00D72C55">
                <w:rPr>
                  <w:sz w:val="22"/>
                  <w:szCs w:val="22"/>
                </w:rPr>
                <w:t xml:space="preserve"> </w:t>
              </w:r>
              <w:r w:rsidR="004529A5">
                <w:rPr>
                  <w:sz w:val="22"/>
                  <w:szCs w:val="22"/>
                </w:rPr>
                <w:t>8°) contrat con</w:t>
              </w:r>
              <w:r w:rsidR="004529A5" w:rsidRPr="00322736">
                <w:rPr>
                  <w:sz w:val="22"/>
                  <w:szCs w:val="22"/>
                </w:rPr>
                <w:t>clu par l’OPT pour ses activités dans le domaine des télécommunications internationales</w:t>
              </w:r>
              <w:r w:rsidR="004529A5">
                <w:rPr>
                  <w:sz w:val="22"/>
                  <w:szCs w:val="22"/>
                </w:rPr>
                <w:t>.</w:t>
              </w:r>
            </w:p>
          </w:sdtContent>
        </w:sdt>
        <w:p w:rsidR="004529A5" w:rsidRDefault="004529A5" w:rsidP="004529A5">
          <w:pPr>
            <w:jc w:val="both"/>
            <w:rPr>
              <w:sz w:val="22"/>
              <w:szCs w:val="22"/>
            </w:rPr>
          </w:pPr>
          <w:r>
            <w:rPr>
              <w:sz w:val="22"/>
              <w:szCs w:val="22"/>
            </w:rPr>
            <w:t>Sa procédure de passation</w:t>
          </w:r>
          <w:r w:rsidRPr="00B307A2">
            <w:rPr>
              <w:sz w:val="22"/>
              <w:szCs w:val="22"/>
            </w:rPr>
            <w:t xml:space="preserve"> reste </w:t>
          </w:r>
          <w:r>
            <w:rPr>
              <w:sz w:val="22"/>
              <w:szCs w:val="22"/>
            </w:rPr>
            <w:t xml:space="preserve">ainsi </w:t>
          </w:r>
          <w:r w:rsidRPr="00B307A2">
            <w:rPr>
              <w:sz w:val="22"/>
              <w:szCs w:val="22"/>
            </w:rPr>
            <w:t>soumis</w:t>
          </w:r>
          <w:r>
            <w:rPr>
              <w:sz w:val="22"/>
              <w:szCs w:val="22"/>
            </w:rPr>
            <w:t>e</w:t>
          </w:r>
          <w:r w:rsidRPr="00B307A2">
            <w:rPr>
              <w:sz w:val="22"/>
              <w:szCs w:val="22"/>
            </w:rPr>
            <w:t xml:space="preserve"> aux principes de libre accès à la commande publique, </w:t>
          </w:r>
          <w:r>
            <w:rPr>
              <w:sz w:val="22"/>
              <w:szCs w:val="22"/>
            </w:rPr>
            <w:t>d’</w:t>
          </w:r>
          <w:r w:rsidRPr="00B307A2">
            <w:rPr>
              <w:sz w:val="22"/>
              <w:szCs w:val="22"/>
            </w:rPr>
            <w:t>égalité de traitement des candidats et de transparence des procédures définies à l’article 22.17° de la loi organique n° 99-209 du 19 mars 1999 relative à la Nouvelle-Calédonie.</w:t>
          </w:r>
        </w:p>
        <w:p w:rsidR="004529A5" w:rsidRDefault="00683324" w:rsidP="004529A5">
          <w:pPr>
            <w:jc w:val="both"/>
            <w:rPr>
              <w:sz w:val="22"/>
              <w:szCs w:val="22"/>
            </w:rPr>
          </w:pPr>
        </w:p>
      </w:sdtContent>
    </w:sdt>
    <w:sdt>
      <w:sdtPr>
        <w:rPr>
          <w:sz w:val="22"/>
        </w:rPr>
        <w:id w:val="-38664165"/>
        <w:placeholder>
          <w:docPart w:val="DefaultPlaceholder_1082065158"/>
        </w:placeholder>
      </w:sdtPr>
      <w:sdtEndPr>
        <w:rPr>
          <w:szCs w:val="22"/>
        </w:rPr>
      </w:sdtEndPr>
      <w:sdtContent>
        <w:p w:rsidR="00C50ED1" w:rsidRDefault="00683324" w:rsidP="00C50ED1">
          <w:pPr>
            <w:jc w:val="both"/>
            <w:rPr>
              <w:sz w:val="22"/>
              <w:szCs w:val="22"/>
            </w:rPr>
          </w:pPr>
          <w:sdt>
            <w:sdtPr>
              <w:rPr>
                <w:sz w:val="22"/>
              </w:rPr>
              <w:id w:val="1247689372"/>
              <w14:checkbox>
                <w14:checked w14:val="0"/>
                <w14:checkedState w14:val="2612" w14:font="MS Gothic"/>
                <w14:uncheckedState w14:val="2610" w14:font="MS Gothic"/>
              </w14:checkbox>
            </w:sdtPr>
            <w:sdtEndPr/>
            <w:sdtContent>
              <w:r w:rsidR="00C50ED1" w:rsidRPr="002D568D">
                <w:rPr>
                  <w:rFonts w:ascii="MS Gothic" w:eastAsia="MS Gothic" w:hAnsi="MS Gothic" w:hint="eastAsia"/>
                  <w:sz w:val="22"/>
                </w:rPr>
                <w:t>☐</w:t>
              </w:r>
            </w:sdtContent>
          </w:sdt>
          <w:r w:rsidR="00C50ED1" w:rsidRPr="002D568D">
            <w:rPr>
              <w:sz w:val="24"/>
              <w:szCs w:val="22"/>
            </w:rPr>
            <w:t xml:space="preserve"> </w:t>
          </w:r>
          <w:r w:rsidR="00C50ED1">
            <w:rPr>
              <w:sz w:val="22"/>
              <w:szCs w:val="22"/>
            </w:rPr>
            <w:t>Il s’agit d’une convention définie à l’article 2-2</w:t>
          </w:r>
          <w:r w:rsidR="00C50ED1" w:rsidRPr="00973FD2">
            <w:rPr>
              <w:sz w:val="22"/>
              <w:szCs w:val="22"/>
            </w:rPr>
            <w:t xml:space="preserve"> </w:t>
          </w:r>
          <w:r w:rsidR="00C50ED1">
            <w:rPr>
              <w:sz w:val="22"/>
              <w:szCs w:val="22"/>
            </w:rPr>
            <w:t xml:space="preserve">de la </w:t>
          </w:r>
          <w:r w:rsidR="00C50ED1" w:rsidRPr="007143D5">
            <w:rPr>
              <w:sz w:val="22"/>
              <w:szCs w:val="22"/>
            </w:rPr>
            <w:t>délibération n° 424 du 20 mars 2019 portant réglementation des marchés publics</w:t>
          </w:r>
          <w:r w:rsidR="00C50ED1">
            <w:rPr>
              <w:sz w:val="22"/>
              <w:szCs w:val="22"/>
            </w:rPr>
            <w:t>, qui est confiée sans mise en concurrence à une structure d’insertion par le travail agréée pour la mise en œuvre d’un chantier d’insertion dans les conditions définies audit article, notamment un coût global inférieur à 40 MF HT, et pour laquelle les dispositions de ladite délibération ne sont pas applicables.</w:t>
          </w:r>
        </w:p>
      </w:sdtContent>
    </w:sdt>
    <w:p w:rsidR="004529A5" w:rsidRPr="00B307A2" w:rsidRDefault="004529A5" w:rsidP="004529A5">
      <w:pPr>
        <w:jc w:val="both"/>
        <w:rPr>
          <w:sz w:val="22"/>
          <w:szCs w:val="22"/>
        </w:rPr>
      </w:pPr>
    </w:p>
    <w:p w:rsidR="00E939CE" w:rsidRPr="00B307A2" w:rsidRDefault="00E939CE" w:rsidP="00A455A8">
      <w:pPr>
        <w:jc w:val="both"/>
        <w:rPr>
          <w:sz w:val="22"/>
          <w:szCs w:val="22"/>
        </w:rPr>
      </w:pPr>
    </w:p>
    <w:p w:rsidR="00912C23" w:rsidRPr="00AC4B69" w:rsidRDefault="00912C23" w:rsidP="00A455A8">
      <w:pPr>
        <w:jc w:val="both"/>
        <w:rPr>
          <w:b/>
          <w:sz w:val="22"/>
          <w:szCs w:val="22"/>
          <w:u w:val="single"/>
        </w:rPr>
      </w:pPr>
      <w:r w:rsidRPr="00AC4B69">
        <w:rPr>
          <w:b/>
          <w:sz w:val="22"/>
          <w:szCs w:val="22"/>
          <w:u w:val="single"/>
        </w:rPr>
        <w:t>2 – Etendue de la consultation</w:t>
      </w:r>
    </w:p>
    <w:p w:rsidR="00912C23" w:rsidRPr="00B307A2" w:rsidRDefault="00912C23" w:rsidP="00A455A8">
      <w:pPr>
        <w:jc w:val="both"/>
        <w:rPr>
          <w:sz w:val="22"/>
          <w:szCs w:val="22"/>
        </w:rPr>
      </w:pPr>
    </w:p>
    <w:sdt>
      <w:sdtPr>
        <w:rPr>
          <w:sz w:val="22"/>
        </w:rPr>
        <w:id w:val="1141777355"/>
        <w:placeholder>
          <w:docPart w:val="DefaultPlaceholder_1082065158"/>
        </w:placeholder>
      </w:sdtPr>
      <w:sdtEndPr>
        <w:rPr>
          <w:szCs w:val="22"/>
        </w:rPr>
      </w:sdtEndPr>
      <w:sdtContent>
        <w:p w:rsidR="007E1745" w:rsidRDefault="00683324" w:rsidP="007E1745">
          <w:pPr>
            <w:jc w:val="both"/>
            <w:rPr>
              <w:sz w:val="22"/>
              <w:szCs w:val="22"/>
            </w:rPr>
          </w:pPr>
          <w:sdt>
            <w:sdtPr>
              <w:rPr>
                <w:sz w:val="22"/>
              </w:rPr>
              <w:id w:val="-499883388"/>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Pr>
              <w:sz w:val="22"/>
              <w:szCs w:val="22"/>
            </w:rPr>
            <w:t>Cette consultation est restreinte et adressée directement à un seul</w:t>
          </w:r>
          <w:r w:rsidR="007E1745" w:rsidRPr="00B307A2">
            <w:rPr>
              <w:sz w:val="22"/>
              <w:szCs w:val="22"/>
            </w:rPr>
            <w:t xml:space="preserve"> opérateur économique susceptible de réaliser les prestations</w:t>
          </w:r>
          <w:r w:rsidR="007E1745">
            <w:rPr>
              <w:sz w:val="22"/>
              <w:szCs w:val="22"/>
            </w:rPr>
            <w:t>, avec les documents de consultation correspondants, comme l’y autorise le contexte réglementaire précisé ci-dessus.</w:t>
          </w:r>
        </w:p>
      </w:sdtContent>
    </w:sdt>
    <w:p w:rsidR="007E1745" w:rsidRDefault="007E1745" w:rsidP="007E1745">
      <w:pPr>
        <w:jc w:val="both"/>
        <w:rPr>
          <w:sz w:val="22"/>
          <w:szCs w:val="22"/>
        </w:rPr>
      </w:pPr>
    </w:p>
    <w:sdt>
      <w:sdtPr>
        <w:rPr>
          <w:sz w:val="22"/>
        </w:rPr>
        <w:id w:val="-1794059442"/>
        <w:placeholder>
          <w:docPart w:val="DefaultPlaceholder_1082065158"/>
        </w:placeholder>
      </w:sdtPr>
      <w:sdtEndPr>
        <w:rPr>
          <w:szCs w:val="22"/>
        </w:rPr>
      </w:sdtEndPr>
      <w:sdtContent>
        <w:p w:rsidR="007E1745" w:rsidRDefault="00683324" w:rsidP="007E1745">
          <w:pPr>
            <w:jc w:val="both"/>
            <w:rPr>
              <w:sz w:val="22"/>
              <w:szCs w:val="22"/>
            </w:rPr>
          </w:pPr>
          <w:sdt>
            <w:sdtPr>
              <w:rPr>
                <w:sz w:val="22"/>
              </w:rPr>
              <w:id w:val="-812705594"/>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Pr>
              <w:sz w:val="22"/>
              <w:szCs w:val="22"/>
            </w:rPr>
            <w:t xml:space="preserve">Cette consultation est restreinte et adressée directement par email </w:t>
          </w:r>
          <w:r w:rsidR="007E1745" w:rsidRPr="00B307A2">
            <w:rPr>
              <w:sz w:val="22"/>
              <w:szCs w:val="22"/>
            </w:rPr>
            <w:t>à plusieurs opérateurs économiques susceptibles de réaliser les prestations</w:t>
          </w:r>
          <w:r w:rsidR="007E1745">
            <w:rPr>
              <w:sz w:val="22"/>
              <w:szCs w:val="22"/>
            </w:rPr>
            <w:t>, avec les documents de consultation correspondants.</w:t>
          </w:r>
        </w:p>
      </w:sdtContent>
    </w:sdt>
    <w:p w:rsidR="007E1745" w:rsidRDefault="007E1745" w:rsidP="007E1745">
      <w:pPr>
        <w:jc w:val="both"/>
        <w:rPr>
          <w:sz w:val="22"/>
          <w:szCs w:val="22"/>
        </w:rPr>
      </w:pPr>
    </w:p>
    <w:sdt>
      <w:sdtPr>
        <w:rPr>
          <w:sz w:val="22"/>
        </w:rPr>
        <w:id w:val="-1538273122"/>
        <w:placeholder>
          <w:docPart w:val="DefaultPlaceholder_1082065158"/>
        </w:placeholder>
      </w:sdtPr>
      <w:sdtEndPr>
        <w:rPr>
          <w:szCs w:val="22"/>
        </w:rPr>
      </w:sdtEndPr>
      <w:sdtContent>
        <w:p w:rsidR="007E1745" w:rsidRDefault="00683324" w:rsidP="007E1745">
          <w:pPr>
            <w:jc w:val="both"/>
            <w:rPr>
              <w:sz w:val="22"/>
              <w:szCs w:val="22"/>
            </w:rPr>
          </w:pPr>
          <w:sdt>
            <w:sdtPr>
              <w:rPr>
                <w:sz w:val="22"/>
              </w:rPr>
              <w:id w:val="-1363658796"/>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sidRPr="00B307A2">
            <w:rPr>
              <w:sz w:val="22"/>
              <w:szCs w:val="22"/>
            </w:rPr>
            <w:t xml:space="preserve">Bien que cette consultation puisse être restreinte et donc adressée directement par email à plusieurs opérateurs économiques susceptibles de réaliser les prestations, les documents de consultation correspondants sont simultanément publiés sur </w:t>
          </w:r>
          <w:r w:rsidR="007E1745">
            <w:rPr>
              <w:sz w:val="22"/>
              <w:szCs w:val="22"/>
            </w:rPr>
            <w:t>la plateforme</w:t>
          </w:r>
          <w:r w:rsidR="007E1745" w:rsidRPr="00B307A2">
            <w:rPr>
              <w:sz w:val="22"/>
              <w:szCs w:val="22"/>
            </w:rPr>
            <w:t xml:space="preserve"> </w:t>
          </w:r>
          <w:r w:rsidR="007E1745">
            <w:rPr>
              <w:color w:val="0070C0"/>
              <w:sz w:val="22"/>
              <w:szCs w:val="22"/>
            </w:rPr>
            <w:t>www.marchespublics.nc</w:t>
          </w:r>
          <w:r w:rsidR="007E1745" w:rsidRPr="00B307A2">
            <w:rPr>
              <w:sz w:val="22"/>
              <w:szCs w:val="22"/>
            </w:rPr>
            <w:t xml:space="preserve"> afin que tout opérateur économique ayant les capacités nécessaires et en situation de régularité administrative, fiscale et sociale, puisse y répondre.</w:t>
          </w:r>
        </w:p>
      </w:sdtContent>
    </w:sdt>
    <w:p w:rsidR="007E1745" w:rsidRDefault="007E1745" w:rsidP="007E1745">
      <w:pPr>
        <w:jc w:val="both"/>
        <w:rPr>
          <w:sz w:val="22"/>
          <w:szCs w:val="22"/>
        </w:rPr>
      </w:pPr>
    </w:p>
    <w:sdt>
      <w:sdtPr>
        <w:rPr>
          <w:sz w:val="22"/>
        </w:rPr>
        <w:id w:val="-635868301"/>
        <w:placeholder>
          <w:docPart w:val="DefaultPlaceholder_1082065158"/>
        </w:placeholder>
      </w:sdtPr>
      <w:sdtEndPr>
        <w:rPr>
          <w:szCs w:val="22"/>
        </w:rPr>
      </w:sdtEndPr>
      <w:sdtContent>
        <w:p w:rsidR="007E1745" w:rsidRDefault="00683324" w:rsidP="007E1745">
          <w:pPr>
            <w:jc w:val="both"/>
            <w:rPr>
              <w:sz w:val="22"/>
              <w:szCs w:val="22"/>
            </w:rPr>
          </w:pPr>
          <w:sdt>
            <w:sdtPr>
              <w:rPr>
                <w:sz w:val="22"/>
              </w:rPr>
              <w:id w:val="-1014142446"/>
              <w14:checkbox>
                <w14:checked w14:val="0"/>
                <w14:checkedState w14:val="2612" w14:font="MS Gothic"/>
                <w14:uncheckedState w14:val="2610" w14:font="MS Gothic"/>
              </w14:checkbox>
            </w:sdtPr>
            <w:sdtEndPr/>
            <w:sdtContent>
              <w:r w:rsidR="007E1745" w:rsidRPr="002D568D">
                <w:rPr>
                  <w:rFonts w:ascii="MS Gothic" w:eastAsia="MS Gothic" w:hAnsi="MS Gothic" w:hint="eastAsia"/>
                  <w:sz w:val="22"/>
                </w:rPr>
                <w:t>☐</w:t>
              </w:r>
            </w:sdtContent>
          </w:sdt>
          <w:r w:rsidR="007E1745" w:rsidRPr="002D568D">
            <w:rPr>
              <w:sz w:val="24"/>
              <w:szCs w:val="22"/>
            </w:rPr>
            <w:t xml:space="preserve"> </w:t>
          </w:r>
          <w:r w:rsidR="007E1745">
            <w:rPr>
              <w:sz w:val="22"/>
              <w:szCs w:val="22"/>
            </w:rPr>
            <w:t>Cette consultation est ouverte.</w:t>
          </w:r>
          <w:r w:rsidR="007E1745" w:rsidRPr="00EA56A2">
            <w:rPr>
              <w:sz w:val="22"/>
              <w:szCs w:val="22"/>
            </w:rPr>
            <w:t xml:space="preserve"> </w:t>
          </w:r>
          <w:r w:rsidR="007E1745">
            <w:rPr>
              <w:sz w:val="22"/>
              <w:szCs w:val="22"/>
            </w:rPr>
            <w:t>L</w:t>
          </w:r>
          <w:r w:rsidR="007E1745" w:rsidRPr="00B307A2">
            <w:rPr>
              <w:sz w:val="22"/>
              <w:szCs w:val="22"/>
            </w:rPr>
            <w:t xml:space="preserve">es documents de consultation correspondants sont publiés sur </w:t>
          </w:r>
          <w:r w:rsidR="007E1745">
            <w:rPr>
              <w:sz w:val="22"/>
              <w:szCs w:val="22"/>
            </w:rPr>
            <w:t>la plateforme</w:t>
          </w:r>
          <w:r w:rsidR="007E1745" w:rsidRPr="00B307A2">
            <w:rPr>
              <w:sz w:val="22"/>
              <w:szCs w:val="22"/>
            </w:rPr>
            <w:t xml:space="preserve"> </w:t>
          </w:r>
          <w:r w:rsidR="007E1745">
            <w:rPr>
              <w:color w:val="0070C0"/>
              <w:sz w:val="22"/>
              <w:szCs w:val="22"/>
            </w:rPr>
            <w:t>www.marchespublics.nc</w:t>
          </w:r>
          <w:r w:rsidR="007E1745" w:rsidRPr="00B307A2">
            <w:rPr>
              <w:sz w:val="22"/>
              <w:szCs w:val="22"/>
            </w:rPr>
            <w:t xml:space="preserve"> afin que tout opérateur économique ayant les capacités nécessaires et en situation de régularité administrative, fiscale et sociale, puisse y répondre.</w:t>
          </w:r>
        </w:p>
      </w:sdtContent>
    </w:sdt>
    <w:p w:rsidR="007E1745" w:rsidRPr="00B307A2" w:rsidRDefault="007E1745" w:rsidP="007E1745">
      <w:pPr>
        <w:jc w:val="both"/>
        <w:rPr>
          <w:sz w:val="22"/>
          <w:szCs w:val="22"/>
        </w:rPr>
      </w:pPr>
    </w:p>
    <w:p w:rsidR="00E939CE" w:rsidRPr="00B307A2" w:rsidRDefault="00E939CE" w:rsidP="00254BB9">
      <w:pPr>
        <w:jc w:val="both"/>
        <w:rPr>
          <w:sz w:val="22"/>
          <w:szCs w:val="22"/>
        </w:rPr>
      </w:pPr>
    </w:p>
    <w:p w:rsidR="00912C23" w:rsidRPr="00AC4B69" w:rsidRDefault="00912C23" w:rsidP="00254BB9">
      <w:pPr>
        <w:jc w:val="both"/>
        <w:rPr>
          <w:b/>
          <w:sz w:val="22"/>
          <w:szCs w:val="22"/>
          <w:u w:val="single"/>
        </w:rPr>
      </w:pPr>
      <w:r w:rsidRPr="00AC4B69">
        <w:rPr>
          <w:b/>
          <w:sz w:val="22"/>
          <w:szCs w:val="22"/>
          <w:u w:val="single"/>
        </w:rPr>
        <w:t>3 – Répartition en lots, forme des réponses, et forme des contrats</w:t>
      </w:r>
    </w:p>
    <w:p w:rsidR="00C50ED1" w:rsidRPr="00AC4B69" w:rsidRDefault="00C50ED1" w:rsidP="00C50ED1">
      <w:pPr>
        <w:jc w:val="both"/>
        <w:rPr>
          <w:b/>
          <w:sz w:val="22"/>
          <w:szCs w:val="22"/>
          <w:u w:val="single"/>
        </w:rPr>
      </w:pPr>
    </w:p>
    <w:p w:rsidR="00C50ED1" w:rsidRPr="00B307A2" w:rsidRDefault="00C50ED1" w:rsidP="00C50ED1">
      <w:pPr>
        <w:jc w:val="both"/>
        <w:rPr>
          <w:sz w:val="22"/>
          <w:szCs w:val="22"/>
        </w:rPr>
      </w:pPr>
      <w:r w:rsidRPr="00B307A2">
        <w:rPr>
          <w:sz w:val="22"/>
          <w:szCs w:val="22"/>
        </w:rPr>
        <w:t>Les prestations ne sont pas réparties en lots.</w:t>
      </w:r>
    </w:p>
    <w:p w:rsidR="001D6E94" w:rsidRDefault="001D6E94" w:rsidP="00C50ED1">
      <w:pPr>
        <w:jc w:val="both"/>
        <w:rPr>
          <w:sz w:val="22"/>
          <w:szCs w:val="22"/>
        </w:rPr>
      </w:pPr>
    </w:p>
    <w:p w:rsidR="00C50ED1" w:rsidRPr="00B307A2" w:rsidRDefault="00C50ED1" w:rsidP="00C50ED1">
      <w:pPr>
        <w:jc w:val="both"/>
        <w:rPr>
          <w:sz w:val="22"/>
          <w:szCs w:val="22"/>
        </w:rPr>
      </w:pPr>
      <w:r w:rsidRPr="00B307A2">
        <w:rPr>
          <w:sz w:val="22"/>
          <w:szCs w:val="22"/>
        </w:rPr>
        <w:t>Un candidat peut répondre pour l’ensemble des prestations, soit seul</w:t>
      </w:r>
      <w:r w:rsidR="00D80524" w:rsidRPr="00B307A2">
        <w:rPr>
          <w:sz w:val="22"/>
          <w:szCs w:val="22"/>
        </w:rPr>
        <w:t xml:space="preserve">, </w:t>
      </w:r>
      <w:r w:rsidR="00D80524">
        <w:rPr>
          <w:sz w:val="22"/>
          <w:szCs w:val="22"/>
        </w:rPr>
        <w:t>soit avec un ou plusieurs sous-traitants</w:t>
      </w:r>
      <w:r w:rsidRPr="00B307A2">
        <w:rPr>
          <w:sz w:val="22"/>
          <w:szCs w:val="22"/>
        </w:rPr>
        <w:t>, soit en groupement associant d’autres opérateurs économiques.</w:t>
      </w:r>
    </w:p>
    <w:p w:rsidR="00C50ED1" w:rsidRPr="00B307A2" w:rsidRDefault="00C50ED1" w:rsidP="00C50ED1">
      <w:pPr>
        <w:jc w:val="both"/>
        <w:rPr>
          <w:sz w:val="22"/>
          <w:szCs w:val="22"/>
        </w:rPr>
      </w:pPr>
    </w:p>
    <w:p w:rsidR="0029605A" w:rsidRPr="00B307A2" w:rsidRDefault="0029605A" w:rsidP="00254BB9">
      <w:pPr>
        <w:jc w:val="both"/>
        <w:rPr>
          <w:sz w:val="22"/>
          <w:szCs w:val="22"/>
        </w:rPr>
      </w:pPr>
    </w:p>
    <w:p w:rsidR="00E939CE" w:rsidRPr="00AC4B69" w:rsidRDefault="00E939CE" w:rsidP="00254BB9">
      <w:pPr>
        <w:jc w:val="both"/>
        <w:rPr>
          <w:b/>
          <w:sz w:val="22"/>
          <w:szCs w:val="22"/>
          <w:u w:val="single"/>
        </w:rPr>
      </w:pPr>
      <w:r w:rsidRPr="00AC4B69">
        <w:rPr>
          <w:b/>
          <w:sz w:val="22"/>
          <w:szCs w:val="22"/>
          <w:u w:val="single"/>
        </w:rPr>
        <w:t>4 – Forme du contrat et des prix</w:t>
      </w:r>
    </w:p>
    <w:p w:rsidR="00E939CE" w:rsidRPr="00B307A2" w:rsidRDefault="00E939CE" w:rsidP="00254BB9">
      <w:pPr>
        <w:jc w:val="both"/>
        <w:rPr>
          <w:b/>
          <w:sz w:val="22"/>
          <w:szCs w:val="22"/>
        </w:rPr>
      </w:pPr>
    </w:p>
    <w:p w:rsidR="00C50ED1" w:rsidRDefault="00E939CE" w:rsidP="00254BB9">
      <w:pPr>
        <w:jc w:val="both"/>
        <w:rPr>
          <w:sz w:val="22"/>
          <w:szCs w:val="22"/>
        </w:rPr>
      </w:pPr>
      <w:r w:rsidRPr="00B307A2">
        <w:rPr>
          <w:sz w:val="22"/>
          <w:szCs w:val="22"/>
        </w:rPr>
        <w:t>I</w:t>
      </w:r>
      <w:r w:rsidR="00B164CD">
        <w:rPr>
          <w:sz w:val="22"/>
          <w:szCs w:val="22"/>
        </w:rPr>
        <w:t xml:space="preserve">l s’agit d’un contrat </w:t>
      </w:r>
      <w:r w:rsidR="00C50ED1">
        <w:rPr>
          <w:sz w:val="22"/>
          <w:szCs w:val="22"/>
        </w:rPr>
        <w:t>hybride comprenant :</w:t>
      </w:r>
    </w:p>
    <w:p w:rsidR="00C50ED1" w:rsidRDefault="00C50ED1" w:rsidP="00254BB9">
      <w:pPr>
        <w:jc w:val="both"/>
        <w:rPr>
          <w:sz w:val="22"/>
          <w:szCs w:val="22"/>
        </w:rPr>
      </w:pPr>
      <w:r>
        <w:rPr>
          <w:sz w:val="22"/>
          <w:szCs w:val="22"/>
        </w:rPr>
        <w:t xml:space="preserve">- d’une part des prestations réglées à prix forfaitaire concernant </w:t>
      </w:r>
      <w:r w:rsidRPr="007E1745">
        <w:rPr>
          <w:color w:val="0070C0"/>
          <w:sz w:val="22"/>
          <w:szCs w:val="22"/>
        </w:rPr>
        <w:t>l’installation de ….. </w:t>
      </w:r>
      <w:r>
        <w:rPr>
          <w:sz w:val="22"/>
          <w:szCs w:val="22"/>
        </w:rPr>
        <w:t>;</w:t>
      </w:r>
    </w:p>
    <w:p w:rsidR="00E939CE" w:rsidRDefault="00C50ED1" w:rsidP="00254BB9">
      <w:pPr>
        <w:jc w:val="both"/>
        <w:rPr>
          <w:sz w:val="22"/>
          <w:szCs w:val="22"/>
        </w:rPr>
      </w:pPr>
      <w:r>
        <w:rPr>
          <w:sz w:val="22"/>
          <w:szCs w:val="22"/>
        </w:rPr>
        <w:t xml:space="preserve">- d’autre part </w:t>
      </w:r>
      <w:r w:rsidR="007E1745">
        <w:rPr>
          <w:sz w:val="22"/>
          <w:szCs w:val="22"/>
        </w:rPr>
        <w:t>des prestations sur</w:t>
      </w:r>
      <w:r w:rsidR="00B164CD">
        <w:rPr>
          <w:sz w:val="22"/>
          <w:szCs w:val="22"/>
        </w:rPr>
        <w:t xml:space="preserve"> bons de commande</w:t>
      </w:r>
      <w:r w:rsidR="004E708E">
        <w:rPr>
          <w:sz w:val="22"/>
          <w:szCs w:val="22"/>
        </w:rPr>
        <w:t xml:space="preserve"> pour </w:t>
      </w:r>
      <w:r w:rsidR="007E1745" w:rsidRPr="007E1745">
        <w:rPr>
          <w:color w:val="0070C0"/>
          <w:sz w:val="22"/>
          <w:szCs w:val="22"/>
        </w:rPr>
        <w:t>la maintenance annuelle …</w:t>
      </w:r>
      <w:r w:rsidR="007E1745">
        <w:rPr>
          <w:sz w:val="22"/>
          <w:szCs w:val="22"/>
        </w:rPr>
        <w:t>.</w:t>
      </w:r>
      <w:r w:rsidR="004E708E">
        <w:rPr>
          <w:sz w:val="22"/>
          <w:szCs w:val="22"/>
        </w:rPr>
        <w:t xml:space="preserve"> </w:t>
      </w:r>
    </w:p>
    <w:p w:rsidR="00AC4B69" w:rsidRPr="00B307A2" w:rsidRDefault="00AC4B69" w:rsidP="00254BB9">
      <w:pPr>
        <w:jc w:val="both"/>
        <w:rPr>
          <w:sz w:val="22"/>
          <w:szCs w:val="22"/>
        </w:rPr>
      </w:pPr>
    </w:p>
    <w:p w:rsidR="006043B8" w:rsidRPr="006043B8" w:rsidRDefault="006043B8" w:rsidP="006043B8">
      <w:pPr>
        <w:jc w:val="both"/>
      </w:pPr>
      <w:r w:rsidRPr="006043B8">
        <w:rPr>
          <w:sz w:val="22"/>
          <w:szCs w:val="22"/>
        </w:rPr>
        <w:t xml:space="preserve">Le démarrage des prestations </w:t>
      </w:r>
      <w:r w:rsidR="007E1745">
        <w:rPr>
          <w:sz w:val="22"/>
          <w:szCs w:val="22"/>
        </w:rPr>
        <w:t xml:space="preserve">à prix forfaitaire </w:t>
      </w:r>
      <w:r w:rsidRPr="006043B8">
        <w:rPr>
          <w:sz w:val="22"/>
          <w:szCs w:val="22"/>
        </w:rPr>
        <w:t>se fait sur ordre de service, par un écrit ou à la notification du contrat à l’attributaire</w:t>
      </w:r>
      <w:r w:rsidRPr="006043B8">
        <w:t>.</w:t>
      </w:r>
    </w:p>
    <w:p w:rsidR="0013147E" w:rsidRPr="0013147E" w:rsidRDefault="0013147E" w:rsidP="0013147E">
      <w:pPr>
        <w:jc w:val="both"/>
      </w:pPr>
    </w:p>
    <w:p w:rsidR="00E939CE" w:rsidRDefault="007E1745" w:rsidP="00254BB9">
      <w:pPr>
        <w:jc w:val="both"/>
        <w:rPr>
          <w:sz w:val="22"/>
          <w:szCs w:val="22"/>
        </w:rPr>
      </w:pPr>
      <w:r>
        <w:rPr>
          <w:sz w:val="22"/>
          <w:szCs w:val="22"/>
        </w:rPr>
        <w:t>Pour les autres prestations, l</w:t>
      </w:r>
      <w:r w:rsidR="00E939CE" w:rsidRPr="00B307A2">
        <w:rPr>
          <w:sz w:val="22"/>
          <w:szCs w:val="22"/>
        </w:rPr>
        <w:t xml:space="preserve">es </w:t>
      </w:r>
      <w:r w:rsidR="00683324">
        <w:rPr>
          <w:sz w:val="22"/>
          <w:szCs w:val="22"/>
        </w:rPr>
        <w:t>bons de commande</w:t>
      </w:r>
      <w:r w:rsidR="00E939CE" w:rsidRPr="00B307A2">
        <w:rPr>
          <w:sz w:val="22"/>
          <w:szCs w:val="22"/>
        </w:rPr>
        <w:t xml:space="preserve"> sont émis au fur et à mesure des besoins par l’administration, et les prix unitaires </w:t>
      </w:r>
      <w:r w:rsidR="007024E1" w:rsidRPr="00B307A2">
        <w:rPr>
          <w:sz w:val="22"/>
          <w:szCs w:val="22"/>
        </w:rPr>
        <w:t>figurant à l’article 4.2 du contrat</w:t>
      </w:r>
      <w:r w:rsidR="00E939CE" w:rsidRPr="00B307A2">
        <w:rPr>
          <w:sz w:val="22"/>
          <w:szCs w:val="22"/>
        </w:rPr>
        <w:t xml:space="preserve"> sont appliqués aux quantités commandées</w:t>
      </w:r>
      <w:r w:rsidR="00AC4B69">
        <w:rPr>
          <w:sz w:val="22"/>
          <w:szCs w:val="22"/>
        </w:rPr>
        <w:t xml:space="preserve"> et réellement exécutées</w:t>
      </w:r>
      <w:r w:rsidR="00E939CE" w:rsidRPr="00B307A2">
        <w:rPr>
          <w:sz w:val="22"/>
          <w:szCs w:val="22"/>
        </w:rPr>
        <w:t>.</w:t>
      </w:r>
    </w:p>
    <w:p w:rsidR="00E939CE" w:rsidRPr="00B307A2" w:rsidRDefault="00E939CE" w:rsidP="00254BB9">
      <w:pPr>
        <w:jc w:val="both"/>
        <w:rPr>
          <w:sz w:val="22"/>
          <w:szCs w:val="22"/>
        </w:rPr>
      </w:pPr>
    </w:p>
    <w:p w:rsidR="00AE5958" w:rsidRPr="00B307A2" w:rsidRDefault="00E939CE" w:rsidP="00AE5958">
      <w:pPr>
        <w:jc w:val="both"/>
        <w:rPr>
          <w:sz w:val="22"/>
          <w:szCs w:val="22"/>
        </w:rPr>
      </w:pPr>
      <w:r w:rsidRPr="00B307A2">
        <w:rPr>
          <w:sz w:val="22"/>
          <w:szCs w:val="22"/>
        </w:rPr>
        <w:t xml:space="preserve">La durée </w:t>
      </w:r>
      <w:r w:rsidR="00AE5958">
        <w:rPr>
          <w:sz w:val="22"/>
          <w:szCs w:val="22"/>
        </w:rPr>
        <w:t xml:space="preserve">et les délais relatifs au contrat, ainsi que son éventuelle reconduction, sont précisés à l’article 5 </w:t>
      </w:r>
      <w:r w:rsidRPr="00B307A2">
        <w:rPr>
          <w:sz w:val="22"/>
          <w:szCs w:val="22"/>
        </w:rPr>
        <w:t xml:space="preserve">du </w:t>
      </w:r>
      <w:r w:rsidR="00AE5958">
        <w:rPr>
          <w:sz w:val="22"/>
          <w:szCs w:val="22"/>
        </w:rPr>
        <w:t xml:space="preserve">projet de </w:t>
      </w:r>
      <w:r w:rsidRPr="00B307A2">
        <w:rPr>
          <w:sz w:val="22"/>
          <w:szCs w:val="22"/>
        </w:rPr>
        <w:t>contrat</w:t>
      </w:r>
      <w:r w:rsidR="00AE5958">
        <w:rPr>
          <w:sz w:val="22"/>
          <w:szCs w:val="22"/>
        </w:rPr>
        <w:t>.</w:t>
      </w:r>
    </w:p>
    <w:p w:rsidR="00E939CE" w:rsidRPr="00B307A2" w:rsidRDefault="00E939CE" w:rsidP="00E939CE">
      <w:pPr>
        <w:jc w:val="both"/>
        <w:rPr>
          <w:sz w:val="22"/>
          <w:szCs w:val="22"/>
        </w:rPr>
      </w:pPr>
    </w:p>
    <w:p w:rsidR="00E939CE" w:rsidRPr="00B307A2" w:rsidRDefault="00E939CE" w:rsidP="00254BB9">
      <w:pPr>
        <w:jc w:val="both"/>
        <w:rPr>
          <w:b/>
          <w:sz w:val="22"/>
          <w:szCs w:val="22"/>
        </w:rPr>
      </w:pPr>
    </w:p>
    <w:p w:rsidR="0050757A" w:rsidRPr="00AC4B69" w:rsidRDefault="0050757A" w:rsidP="0050757A">
      <w:pPr>
        <w:rPr>
          <w:b/>
          <w:bCs/>
          <w:sz w:val="22"/>
          <w:szCs w:val="22"/>
          <w:u w:val="single"/>
        </w:rPr>
      </w:pPr>
      <w:r w:rsidRPr="00AC4B69">
        <w:rPr>
          <w:b/>
          <w:bCs/>
          <w:sz w:val="22"/>
          <w:szCs w:val="22"/>
          <w:u w:val="single"/>
        </w:rPr>
        <w:t>5 - Questions, réponses, modifications</w:t>
      </w:r>
    </w:p>
    <w:p w:rsidR="0050757A" w:rsidRPr="00B307A2" w:rsidRDefault="0050757A" w:rsidP="0050757A">
      <w:pPr>
        <w:jc w:val="both"/>
        <w:rPr>
          <w:sz w:val="22"/>
          <w:szCs w:val="22"/>
        </w:rPr>
      </w:pPr>
    </w:p>
    <w:sdt>
      <w:sdtPr>
        <w:rPr>
          <w:sz w:val="22"/>
        </w:rPr>
        <w:id w:val="-1859498849"/>
        <w:placeholder>
          <w:docPart w:val="DefaultPlaceholder_1082065158"/>
        </w:placeholder>
      </w:sdtPr>
      <w:sdtEndPr>
        <w:rPr>
          <w:color w:val="0070C0"/>
          <w:szCs w:val="22"/>
        </w:rPr>
      </w:sdtEndPr>
      <w:sdtContent>
        <w:p w:rsidR="0098651E" w:rsidRPr="00B307A2" w:rsidRDefault="00683324" w:rsidP="0098651E">
          <w:pPr>
            <w:jc w:val="both"/>
            <w:rPr>
              <w:sz w:val="22"/>
              <w:szCs w:val="22"/>
            </w:rPr>
          </w:pPr>
          <w:sdt>
            <w:sdtPr>
              <w:rPr>
                <w:sz w:val="22"/>
              </w:rPr>
              <w:id w:val="-1568716574"/>
              <w14:checkbox>
                <w14:checked w14:val="0"/>
                <w14:checkedState w14:val="2612" w14:font="MS Gothic"/>
                <w14:uncheckedState w14:val="2610" w14:font="MS Gothic"/>
              </w14:checkbox>
            </w:sdtPr>
            <w:sdtEndPr/>
            <w:sdtContent>
              <w:r w:rsidR="0098651E" w:rsidRPr="002D568D">
                <w:rPr>
                  <w:rFonts w:ascii="MS Gothic" w:eastAsia="MS Gothic" w:hAnsi="MS Gothic" w:hint="eastAsia"/>
                  <w:sz w:val="22"/>
                </w:rPr>
                <w:t>☐</w:t>
              </w:r>
            </w:sdtContent>
          </w:sdt>
          <w:r w:rsidR="0098651E" w:rsidRPr="002D568D">
            <w:rPr>
              <w:sz w:val="24"/>
              <w:szCs w:val="22"/>
            </w:rPr>
            <w:t xml:space="preserve"> </w:t>
          </w:r>
          <w:r w:rsidR="0098651E" w:rsidRPr="00B307A2">
            <w:rPr>
              <w:sz w:val="22"/>
              <w:szCs w:val="22"/>
            </w:rPr>
            <w:t xml:space="preserve">Toute question des candidats sera </w:t>
          </w:r>
          <w:r w:rsidR="0098651E">
            <w:rPr>
              <w:sz w:val="22"/>
              <w:szCs w:val="22"/>
            </w:rPr>
            <w:t xml:space="preserve">envoyée au plus tard </w:t>
          </w:r>
          <w:r w:rsidR="0098651E" w:rsidRPr="00281A85">
            <w:rPr>
              <w:color w:val="0070C0"/>
              <w:sz w:val="22"/>
              <w:szCs w:val="22"/>
            </w:rPr>
            <w:t>5</w:t>
          </w:r>
          <w:r w:rsidR="0098651E">
            <w:rPr>
              <w:sz w:val="22"/>
              <w:szCs w:val="22"/>
            </w:rPr>
            <w:t xml:space="preserve"> jours avant la date limite de remise des offres à l’adresse email suivante : </w:t>
          </w:r>
          <w:r w:rsidR="0098651E" w:rsidRPr="000A79A6">
            <w:rPr>
              <w:color w:val="0070C0"/>
              <w:sz w:val="22"/>
              <w:szCs w:val="22"/>
            </w:rPr>
            <w:t>(adresse email générique</w:t>
          </w:r>
          <w:r w:rsidR="0098651E">
            <w:rPr>
              <w:color w:val="0070C0"/>
              <w:sz w:val="22"/>
              <w:szCs w:val="22"/>
            </w:rPr>
            <w:t>,</w:t>
          </w:r>
          <w:r w:rsidR="0098651E" w:rsidRPr="000A79A6">
            <w:rPr>
              <w:color w:val="0070C0"/>
              <w:sz w:val="22"/>
              <w:szCs w:val="22"/>
            </w:rPr>
            <w:t xml:space="preserve"> institutionnelle, boîte à lettres fonctionnelle – adresse personnelle ou professionnelle en solo proscrite).</w:t>
          </w:r>
        </w:p>
      </w:sdtContent>
    </w:sdt>
    <w:p w:rsidR="00BB3294" w:rsidRPr="00B307A2" w:rsidRDefault="00BB3294" w:rsidP="00BB3294">
      <w:pPr>
        <w:jc w:val="both"/>
        <w:rPr>
          <w:sz w:val="22"/>
          <w:szCs w:val="22"/>
        </w:rPr>
      </w:pPr>
    </w:p>
    <w:sdt>
      <w:sdtPr>
        <w:rPr>
          <w:sz w:val="22"/>
        </w:rPr>
        <w:id w:val="1557818434"/>
        <w:placeholder>
          <w:docPart w:val="DefaultPlaceholder_1082065158"/>
        </w:placeholder>
      </w:sdtPr>
      <w:sdtEndPr>
        <w:rPr>
          <w:szCs w:val="22"/>
        </w:rPr>
      </w:sdtEndPr>
      <w:sdtContent>
        <w:p w:rsidR="00BB3294" w:rsidRDefault="00683324" w:rsidP="00BB3294">
          <w:pPr>
            <w:jc w:val="both"/>
            <w:rPr>
              <w:sz w:val="22"/>
              <w:szCs w:val="22"/>
            </w:rPr>
          </w:pPr>
          <w:sdt>
            <w:sdtPr>
              <w:rPr>
                <w:sz w:val="22"/>
              </w:rPr>
              <w:id w:val="1305117441"/>
              <w14:checkbox>
                <w14:checked w14:val="0"/>
                <w14:checkedState w14:val="2612" w14:font="MS Gothic"/>
                <w14:uncheckedState w14:val="2610" w14:font="MS Gothic"/>
              </w14:checkbox>
            </w:sdtPr>
            <w:sdtEndPr/>
            <w:sdtContent>
              <w:r w:rsidR="00BB3294" w:rsidRPr="002D568D">
                <w:rPr>
                  <w:rFonts w:ascii="MS Gothic" w:eastAsia="MS Gothic" w:hAnsi="MS Gothic" w:hint="eastAsia"/>
                  <w:sz w:val="22"/>
                </w:rPr>
                <w:t>☐</w:t>
              </w:r>
            </w:sdtContent>
          </w:sdt>
          <w:r w:rsidR="00BB3294" w:rsidRPr="002D568D">
            <w:rPr>
              <w:sz w:val="24"/>
              <w:szCs w:val="22"/>
            </w:rPr>
            <w:t xml:space="preserve"> </w:t>
          </w:r>
          <w:r w:rsidR="00BB3294" w:rsidRPr="00B307A2">
            <w:rPr>
              <w:sz w:val="22"/>
              <w:szCs w:val="22"/>
            </w:rPr>
            <w:t xml:space="preserve">Toute question des candidats sera </w:t>
          </w:r>
          <w:r w:rsidR="00BB3294">
            <w:rPr>
              <w:sz w:val="22"/>
              <w:szCs w:val="22"/>
            </w:rPr>
            <w:t>portée</w:t>
          </w:r>
          <w:r w:rsidR="00BB3294" w:rsidRPr="00B307A2">
            <w:rPr>
              <w:sz w:val="22"/>
              <w:szCs w:val="22"/>
            </w:rPr>
            <w:t xml:space="preserve"> par écrit </w:t>
          </w:r>
          <w:r w:rsidR="00BB3294">
            <w:rPr>
              <w:sz w:val="22"/>
              <w:szCs w:val="22"/>
            </w:rPr>
            <w:t xml:space="preserve">sur la plateforme identifiée ci-dessus </w:t>
          </w:r>
          <w:r w:rsidR="00BB3294" w:rsidRPr="00B307A2">
            <w:rPr>
              <w:sz w:val="22"/>
              <w:szCs w:val="22"/>
            </w:rPr>
            <w:t>: ___________</w:t>
          </w:r>
          <w:r w:rsidR="00BB3294">
            <w:rPr>
              <w:sz w:val="22"/>
              <w:szCs w:val="22"/>
            </w:rPr>
            <w:t xml:space="preserve"> au plus tard </w:t>
          </w:r>
          <w:r w:rsidR="00BB3294" w:rsidRPr="00281A85">
            <w:rPr>
              <w:color w:val="0070C0"/>
              <w:sz w:val="22"/>
              <w:szCs w:val="22"/>
            </w:rPr>
            <w:t>5</w:t>
          </w:r>
          <w:r w:rsidR="00BB3294">
            <w:rPr>
              <w:sz w:val="22"/>
              <w:szCs w:val="22"/>
            </w:rPr>
            <w:t xml:space="preserve"> jours avant la date limite de remise des offres.</w:t>
          </w:r>
        </w:p>
      </w:sdtContent>
    </w:sdt>
    <w:p w:rsidR="00BB3294" w:rsidRPr="00B307A2" w:rsidRDefault="00BB3294" w:rsidP="00BB3294">
      <w:pPr>
        <w:jc w:val="both"/>
        <w:rPr>
          <w:sz w:val="22"/>
          <w:szCs w:val="22"/>
        </w:rPr>
      </w:pPr>
    </w:p>
    <w:p w:rsidR="00BB3294" w:rsidRPr="00B307A2" w:rsidRDefault="00BB3294" w:rsidP="00BB3294">
      <w:pPr>
        <w:jc w:val="both"/>
        <w:rPr>
          <w:sz w:val="22"/>
          <w:szCs w:val="22"/>
        </w:rPr>
      </w:pPr>
      <w:r w:rsidRPr="00B307A2">
        <w:rPr>
          <w:sz w:val="22"/>
          <w:szCs w:val="22"/>
        </w:rPr>
        <w:t>Les réponses et les éventuelles modifications de la consultation seront envoyées en temps utile à l’ensemble des candidats si elles impactent la teneur de la consultation.</w:t>
      </w:r>
    </w:p>
    <w:p w:rsidR="00BB3294" w:rsidRPr="00B307A2" w:rsidRDefault="00BB3294" w:rsidP="00BB3294">
      <w:pPr>
        <w:jc w:val="both"/>
        <w:rPr>
          <w:sz w:val="22"/>
          <w:szCs w:val="22"/>
        </w:rPr>
      </w:pPr>
    </w:p>
    <w:p w:rsidR="00BB3294" w:rsidRPr="00B307A2" w:rsidRDefault="00BB3294" w:rsidP="00BB3294">
      <w:pPr>
        <w:jc w:val="both"/>
        <w:rPr>
          <w:sz w:val="22"/>
          <w:szCs w:val="22"/>
        </w:rPr>
      </w:pPr>
      <w:r w:rsidRPr="00B307A2">
        <w:rPr>
          <w:sz w:val="22"/>
          <w:szCs w:val="22"/>
        </w:rPr>
        <w:t>L’échéance limite de remise des offres ci-dessous pourra être modifiée en cas de nécessité</w:t>
      </w:r>
      <w:r>
        <w:rPr>
          <w:sz w:val="22"/>
          <w:szCs w:val="22"/>
        </w:rPr>
        <w:t xml:space="preserve"> à la suite de ces questions</w:t>
      </w:r>
      <w:r w:rsidRPr="00B307A2">
        <w:rPr>
          <w:sz w:val="22"/>
          <w:szCs w:val="22"/>
        </w:rPr>
        <w:t>.</w:t>
      </w:r>
    </w:p>
    <w:p w:rsidR="00BB3294" w:rsidRPr="00B307A2" w:rsidRDefault="00BB3294" w:rsidP="00BB3294">
      <w:pPr>
        <w:jc w:val="both"/>
        <w:rPr>
          <w:sz w:val="22"/>
          <w:szCs w:val="22"/>
        </w:rPr>
      </w:pPr>
    </w:p>
    <w:p w:rsidR="0050757A" w:rsidRPr="00B307A2" w:rsidRDefault="0050757A" w:rsidP="0050757A">
      <w:pPr>
        <w:jc w:val="both"/>
        <w:rPr>
          <w:sz w:val="22"/>
          <w:szCs w:val="22"/>
        </w:rPr>
      </w:pPr>
    </w:p>
    <w:p w:rsidR="00A835CF" w:rsidRPr="003A1463" w:rsidRDefault="00A835CF" w:rsidP="00A835CF">
      <w:pPr>
        <w:jc w:val="both"/>
        <w:rPr>
          <w:b/>
          <w:sz w:val="22"/>
          <w:szCs w:val="22"/>
          <w:u w:val="single"/>
        </w:rPr>
      </w:pPr>
      <w:r w:rsidRPr="003A1463">
        <w:rPr>
          <w:b/>
          <w:sz w:val="22"/>
          <w:szCs w:val="22"/>
          <w:u w:val="single"/>
        </w:rPr>
        <w:t>6 – Documents à remettre par les soumissionnaires</w:t>
      </w:r>
    </w:p>
    <w:p w:rsidR="00A835CF" w:rsidRDefault="00A835CF" w:rsidP="00A835CF">
      <w:pPr>
        <w:jc w:val="both"/>
        <w:rPr>
          <w:sz w:val="22"/>
          <w:szCs w:val="22"/>
        </w:rPr>
      </w:pPr>
    </w:p>
    <w:p w:rsidR="00A835CF" w:rsidRDefault="00A835CF" w:rsidP="00A835CF">
      <w:pPr>
        <w:jc w:val="both"/>
        <w:rPr>
          <w:sz w:val="22"/>
          <w:szCs w:val="22"/>
        </w:rPr>
      </w:pPr>
      <w:r>
        <w:rPr>
          <w:sz w:val="22"/>
          <w:szCs w:val="22"/>
        </w:rPr>
        <w:t>Chaque soumissionnaire doit remettre une offre constituée comme suit :</w:t>
      </w:r>
    </w:p>
    <w:p w:rsidR="00A835CF" w:rsidRPr="00B307A2" w:rsidRDefault="00A835CF" w:rsidP="00A835CF">
      <w:pPr>
        <w:jc w:val="both"/>
        <w:rPr>
          <w:sz w:val="22"/>
          <w:szCs w:val="22"/>
        </w:rPr>
      </w:pPr>
    </w:p>
    <w:p w:rsidR="00A835CF"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 xml:space="preserve">Un document de présentation </w:t>
      </w:r>
      <w:r w:rsidRPr="00B307A2">
        <w:rPr>
          <w:rFonts w:ascii="Times New Roman" w:hAnsi="Times New Roman"/>
          <w:i/>
        </w:rPr>
        <w:t>succinct</w:t>
      </w:r>
      <w:r w:rsidRPr="00B307A2">
        <w:rPr>
          <w:rFonts w:ascii="Times New Roman" w:hAnsi="Times New Roman"/>
        </w:rPr>
        <w:t xml:space="preserve"> comportant </w:t>
      </w:r>
      <w:r w:rsidRPr="00B307A2">
        <w:rPr>
          <w:rFonts w:ascii="Times New Roman" w:hAnsi="Times New Roman"/>
          <w:color w:val="0070C0"/>
        </w:rPr>
        <w:t xml:space="preserve">références, chiffre d’affaires, statistiques, moyens humains et techniques, qualifications, </w:t>
      </w:r>
      <w:r>
        <w:rPr>
          <w:rFonts w:ascii="Times New Roman" w:hAnsi="Times New Roman"/>
          <w:color w:val="0070C0"/>
        </w:rPr>
        <w:t xml:space="preserve">savoir-faire lié à des </w:t>
      </w:r>
      <w:r w:rsidRPr="00B307A2">
        <w:rPr>
          <w:rFonts w:ascii="Times New Roman" w:hAnsi="Times New Roman"/>
          <w:color w:val="0070C0"/>
        </w:rPr>
        <w:t xml:space="preserve">expériences particulières </w:t>
      </w:r>
      <w:r w:rsidRPr="00B307A2">
        <w:rPr>
          <w:rFonts w:ascii="Times New Roman" w:hAnsi="Times New Roman"/>
        </w:rPr>
        <w:t>touchant à l’objet des prestations objet de la présente consultation ;</w:t>
      </w:r>
    </w:p>
    <w:p w:rsidR="00A835CF" w:rsidRPr="00B307A2" w:rsidRDefault="00A835CF" w:rsidP="00A835CF">
      <w:pPr>
        <w:pStyle w:val="Paragraphedeliste"/>
        <w:spacing w:after="0" w:line="240" w:lineRule="auto"/>
        <w:ind w:left="714"/>
        <w:contextualSpacing w:val="0"/>
        <w:jc w:val="both"/>
        <w:rPr>
          <w:rFonts w:ascii="Times New Roman" w:hAnsi="Times New Roman"/>
        </w:rPr>
      </w:pPr>
    </w:p>
    <w:p w:rsidR="00A835CF"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Une attestation sur l’honneur indiquant que le soumissionnaire n’est pas en faillite, et qu’il est en situation régulière vis-à-vis de ses obligations fiscales et sociales</w:t>
      </w:r>
      <w:r>
        <w:rPr>
          <w:rFonts w:ascii="Times New Roman" w:hAnsi="Times New Roman"/>
        </w:rPr>
        <w:t> ;*</w:t>
      </w:r>
    </w:p>
    <w:p w:rsidR="00A835CF" w:rsidRPr="00B307A2" w:rsidRDefault="00A835CF" w:rsidP="00A835CF">
      <w:pPr>
        <w:pStyle w:val="Paragraphedeliste"/>
        <w:spacing w:after="0" w:line="240" w:lineRule="auto"/>
        <w:ind w:left="714"/>
        <w:contextualSpacing w:val="0"/>
        <w:jc w:val="both"/>
        <w:rPr>
          <w:rFonts w:ascii="Times New Roman" w:hAnsi="Times New Roman"/>
        </w:rPr>
      </w:pPr>
    </w:p>
    <w:p w:rsidR="00A835CF"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le projet de contrat ci-joint, soigneusement complété, paraphé à chaque page, et signé par les personnes habilitées à représenter le candidat ;</w:t>
      </w:r>
    </w:p>
    <w:p w:rsidR="00A835CF" w:rsidRPr="00B307A2" w:rsidRDefault="00A835CF" w:rsidP="00A835CF">
      <w:pPr>
        <w:pStyle w:val="Paragraphedeliste"/>
        <w:spacing w:after="0" w:line="240" w:lineRule="auto"/>
        <w:ind w:left="714"/>
        <w:contextualSpacing w:val="0"/>
        <w:jc w:val="both"/>
        <w:rPr>
          <w:rFonts w:ascii="Times New Roman" w:hAnsi="Times New Roman"/>
        </w:rPr>
      </w:pPr>
    </w:p>
    <w:p w:rsidR="00A835CF" w:rsidRPr="00B307A2" w:rsidRDefault="00A835CF" w:rsidP="00A835CF">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 xml:space="preserve">Un mémoire technique précisant la manière particulière d’intervenir pour l’exécution du contrat ainsi que la réponse aux critères de valeur technique précisés </w:t>
      </w:r>
      <w:r>
        <w:rPr>
          <w:rFonts w:ascii="Times New Roman" w:hAnsi="Times New Roman"/>
        </w:rPr>
        <w:t xml:space="preserve">à l’article 9 </w:t>
      </w:r>
      <w:r w:rsidRPr="00B307A2">
        <w:rPr>
          <w:rFonts w:ascii="Times New Roman" w:hAnsi="Times New Roman"/>
        </w:rPr>
        <w:t>ci-après.</w:t>
      </w:r>
    </w:p>
    <w:p w:rsidR="00A835CF" w:rsidRDefault="00A835CF" w:rsidP="00A835CF">
      <w:pPr>
        <w:jc w:val="both"/>
        <w:rPr>
          <w:sz w:val="22"/>
          <w:szCs w:val="22"/>
        </w:rPr>
      </w:pPr>
    </w:p>
    <w:p w:rsidR="00A835CF" w:rsidRDefault="00A835CF" w:rsidP="00A835CF">
      <w:pPr>
        <w:jc w:val="both"/>
        <w:rPr>
          <w:sz w:val="22"/>
          <w:szCs w:val="22"/>
        </w:rPr>
      </w:pPr>
      <w:r>
        <w:rPr>
          <w:sz w:val="22"/>
          <w:szCs w:val="22"/>
        </w:rPr>
        <w:t>En cas de sous-traitance, les pièces a) et b) doivent être présentées pour chacun des sous-traitant, et les annexes de sous-traitance du contrat devront être complétées et signées.</w:t>
      </w:r>
    </w:p>
    <w:p w:rsidR="00A835CF" w:rsidRDefault="00A835CF" w:rsidP="00A835CF">
      <w:pPr>
        <w:jc w:val="both"/>
        <w:rPr>
          <w:sz w:val="22"/>
          <w:szCs w:val="22"/>
        </w:rPr>
      </w:pPr>
    </w:p>
    <w:p w:rsidR="00A835CF" w:rsidRPr="00060A99" w:rsidRDefault="00A835CF" w:rsidP="00A835CF">
      <w:pPr>
        <w:ind w:left="284"/>
        <w:jc w:val="both"/>
        <w:rPr>
          <w:i/>
          <w:sz w:val="22"/>
          <w:szCs w:val="22"/>
        </w:rPr>
      </w:pPr>
      <w:r>
        <w:rPr>
          <w:sz w:val="22"/>
          <w:szCs w:val="22"/>
        </w:rPr>
        <w:t xml:space="preserve">* </w:t>
      </w:r>
      <w:r w:rsidRPr="00060A99">
        <w:rPr>
          <w:i/>
          <w:sz w:val="22"/>
          <w:szCs w:val="22"/>
        </w:rPr>
        <w:t xml:space="preserve">Si son offre est retenue, le soumissionnaire devra fournir dans un délai de </w:t>
      </w:r>
      <w:r w:rsidRPr="00060A99">
        <w:rPr>
          <w:i/>
          <w:color w:val="0070C0"/>
          <w:sz w:val="22"/>
          <w:szCs w:val="22"/>
        </w:rPr>
        <w:t xml:space="preserve">15 </w:t>
      </w:r>
      <w:r w:rsidRPr="00060A99">
        <w:rPr>
          <w:i/>
          <w:sz w:val="22"/>
          <w:szCs w:val="22"/>
        </w:rPr>
        <w:t>jours ouvrables à compter de la demande écrite de l’acheteur public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RIDET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un extrait K-bis attestant de la non faillite de l'entreprise datant de moins de 3 mois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attestations fiscales en 3 volets pour l’année en cours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attestations CAFAT / RUAMM pour le dernier trimestre exigible à la remise de l’offre ;</w:t>
      </w:r>
    </w:p>
    <w:p w:rsidR="00A835CF" w:rsidRPr="00060A99" w:rsidRDefault="00A835CF" w:rsidP="00A835CF">
      <w:pPr>
        <w:pStyle w:val="Paragraphedeliste"/>
        <w:numPr>
          <w:ilvl w:val="0"/>
          <w:numId w:val="28"/>
        </w:numPr>
        <w:spacing w:after="0"/>
        <w:ind w:left="1134" w:hanging="357"/>
        <w:contextualSpacing w:val="0"/>
        <w:jc w:val="both"/>
        <w:rPr>
          <w:rFonts w:ascii="Times New Roman" w:hAnsi="Times New Roman"/>
          <w:i/>
        </w:rPr>
      </w:pPr>
      <w:r w:rsidRPr="00060A99">
        <w:rPr>
          <w:rFonts w:ascii="Times New Roman" w:hAnsi="Times New Roman"/>
          <w:i/>
        </w:rPr>
        <w:t>RIB ou RIP.</w:t>
      </w:r>
    </w:p>
    <w:p w:rsidR="00A835CF" w:rsidRPr="00060A99" w:rsidRDefault="00A835CF" w:rsidP="00A835CF">
      <w:pPr>
        <w:ind w:left="284"/>
        <w:jc w:val="both"/>
        <w:rPr>
          <w:i/>
          <w:sz w:val="22"/>
          <w:szCs w:val="22"/>
        </w:rPr>
      </w:pPr>
      <w:r w:rsidRPr="00060A99">
        <w:rPr>
          <w:i/>
          <w:sz w:val="22"/>
          <w:szCs w:val="22"/>
        </w:rPr>
        <w:t>Il devra fournir dans le même délai les mêmes pièces justificatives pour chacun de ses éventuels sous-traitants.</w:t>
      </w:r>
    </w:p>
    <w:p w:rsidR="00A835CF" w:rsidRPr="00060A99" w:rsidRDefault="00A835CF" w:rsidP="00A835CF">
      <w:pPr>
        <w:ind w:left="284"/>
        <w:jc w:val="both"/>
        <w:rPr>
          <w:i/>
          <w:sz w:val="22"/>
          <w:szCs w:val="22"/>
        </w:rPr>
      </w:pPr>
      <w:r w:rsidRPr="00060A99">
        <w:rPr>
          <w:i/>
          <w:sz w:val="22"/>
          <w:szCs w:val="22"/>
        </w:rPr>
        <w:t>A défaut de fourniture des pièces conformes dans le délai prescrit, l’offre sera éliminée.</w:t>
      </w:r>
    </w:p>
    <w:p w:rsidR="00A835CF" w:rsidRPr="00B307A2" w:rsidRDefault="00A835CF" w:rsidP="00A835CF">
      <w:pPr>
        <w:jc w:val="both"/>
        <w:rPr>
          <w:sz w:val="22"/>
          <w:szCs w:val="22"/>
        </w:rPr>
      </w:pPr>
    </w:p>
    <w:p w:rsidR="00A835CF" w:rsidRDefault="00A835CF" w:rsidP="00A835CF">
      <w:pPr>
        <w:jc w:val="both"/>
        <w:rPr>
          <w:sz w:val="22"/>
          <w:szCs w:val="22"/>
        </w:rPr>
      </w:pPr>
    </w:p>
    <w:p w:rsidR="00E812EE" w:rsidRPr="00AC4B69" w:rsidRDefault="00E812EE" w:rsidP="00E812EE">
      <w:pPr>
        <w:rPr>
          <w:b/>
          <w:bCs/>
          <w:sz w:val="22"/>
          <w:szCs w:val="22"/>
          <w:u w:val="single"/>
        </w:rPr>
      </w:pPr>
      <w:r w:rsidRPr="00AC4B69">
        <w:rPr>
          <w:b/>
          <w:bCs/>
          <w:sz w:val="22"/>
          <w:szCs w:val="22"/>
          <w:u w:val="single"/>
        </w:rPr>
        <w:t>7 - Conditions formelles de remise de l’offre</w:t>
      </w:r>
    </w:p>
    <w:p w:rsidR="00E812EE" w:rsidRDefault="00E812EE" w:rsidP="00E812EE">
      <w:pPr>
        <w:rPr>
          <w:bCs/>
          <w:sz w:val="22"/>
          <w:szCs w:val="22"/>
        </w:rPr>
      </w:pPr>
    </w:p>
    <w:sdt>
      <w:sdtPr>
        <w:rPr>
          <w:sz w:val="22"/>
        </w:rPr>
        <w:id w:val="-1674867919"/>
      </w:sdtPr>
      <w:sdtEndPr>
        <w:rPr>
          <w:bCs/>
          <w:szCs w:val="22"/>
        </w:rPr>
      </w:sdtEndPr>
      <w:sdtContent>
        <w:p w:rsidR="00E812EE" w:rsidRDefault="00683324" w:rsidP="00E812EE">
          <w:pPr>
            <w:rPr>
              <w:bCs/>
              <w:sz w:val="22"/>
              <w:szCs w:val="22"/>
            </w:rPr>
          </w:pPr>
          <w:sdt>
            <w:sdtPr>
              <w:rPr>
                <w:sz w:val="22"/>
              </w:rPr>
              <w:id w:val="1942644575"/>
              <w14:checkbox>
                <w14:checked w14:val="0"/>
                <w14:checkedState w14:val="2612" w14:font="MS Gothic"/>
                <w14:uncheckedState w14:val="2610" w14:font="MS Gothic"/>
              </w14:checkbox>
            </w:sdtPr>
            <w:sdtEndPr/>
            <w:sdtContent>
              <w:r w:rsidR="00E812EE" w:rsidRPr="002D568D">
                <w:rPr>
                  <w:rFonts w:ascii="MS Gothic" w:eastAsia="MS Gothic" w:hAnsi="MS Gothic" w:hint="eastAsia"/>
                  <w:sz w:val="22"/>
                </w:rPr>
                <w:t>☐</w:t>
              </w:r>
            </w:sdtContent>
          </w:sdt>
          <w:r w:rsidR="00E812EE" w:rsidRPr="002D568D">
            <w:rPr>
              <w:sz w:val="24"/>
              <w:szCs w:val="22"/>
            </w:rPr>
            <w:t xml:space="preserve"> </w:t>
          </w:r>
          <w:r w:rsidR="00E812EE">
            <w:rPr>
              <w:bCs/>
              <w:sz w:val="22"/>
              <w:szCs w:val="22"/>
            </w:rPr>
            <w:t>L’offre peut être remise sous format papier ou sous forme électronique.</w:t>
          </w:r>
        </w:p>
        <w:p w:rsidR="00E812EE" w:rsidRDefault="00E812EE" w:rsidP="00E812EE">
          <w:r w:rsidRPr="00AF47CA">
            <w:rPr>
              <w:bCs/>
              <w:sz w:val="22"/>
              <w:szCs w:val="22"/>
              <w:u w:val="single"/>
            </w:rPr>
            <w:t>Remise sous format papier</w:t>
          </w:r>
          <w:r>
            <w:rPr>
              <w:bCs/>
              <w:sz w:val="22"/>
              <w:szCs w:val="22"/>
            </w:rPr>
            <w:t> : les documents listés à l’article 6 du présent règlement doivent être placés dans une seule enveloppe fermée portant uniquement les mentions suivantes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rsidR="00E812EE" w:rsidRPr="009F5FB6" w:rsidRDefault="00E812EE" w:rsidP="00E812EE">
          <w:pPr>
            <w:pStyle w:val="Corpsdetexte"/>
            <w:pBdr>
              <w:top w:val="single" w:sz="4" w:space="1" w:color="auto"/>
              <w:left w:val="single" w:sz="4" w:space="4" w:color="auto"/>
              <w:bottom w:val="single" w:sz="4" w:space="1" w:color="auto"/>
              <w:right w:val="single" w:sz="4" w:space="4" w:color="auto"/>
            </w:pBdr>
            <w:jc w:val="center"/>
          </w:pPr>
          <w:r>
            <w:t>Consultation</w:t>
          </w:r>
          <w:r w:rsidRPr="009F5FB6">
            <w:t xml:space="preserve"> pour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 consultation]</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rsidR="00E812EE" w:rsidRPr="0074322C" w:rsidRDefault="00E812EE" w:rsidP="00E812EE">
          <w:pPr>
            <w:jc w:val="both"/>
            <w:rPr>
              <w:sz w:val="22"/>
              <w:szCs w:val="22"/>
            </w:rPr>
          </w:pPr>
          <w:r w:rsidRPr="0074322C">
            <w:rPr>
              <w:sz w:val="22"/>
              <w:szCs w:val="22"/>
            </w:rPr>
            <w:t>Aucun tampon, signe distinctif ou inscription autre que celle liée à l'enregistrement de l’enveloppe ne sera toléré, exception faite des éléments de récépissé au verso de l’enveloppe, en cas d’envoi par la Poste.</w:t>
          </w:r>
        </w:p>
        <w:p w:rsidR="00E812EE" w:rsidRDefault="00E812EE" w:rsidP="00E812EE">
          <w:pPr>
            <w:rPr>
              <w:bCs/>
              <w:sz w:val="22"/>
              <w:szCs w:val="22"/>
            </w:rPr>
          </w:pPr>
          <w:r w:rsidRPr="00AF47CA">
            <w:rPr>
              <w:bCs/>
              <w:sz w:val="22"/>
              <w:szCs w:val="22"/>
              <w:u w:val="single"/>
            </w:rPr>
            <w:t>Remise sous forme électronique</w:t>
          </w:r>
          <w:r>
            <w:rPr>
              <w:bCs/>
              <w:sz w:val="22"/>
              <w:szCs w:val="22"/>
            </w:rPr>
            <w:t xml:space="preserve"> sur la plateforme de publication des marchés identifiée dans l’avis de consultation : tous les documents listés à l’article 6 du présent règlement doivent être déposés en une fois.</w:t>
          </w:r>
        </w:p>
        <w:p w:rsidR="00E812EE" w:rsidRDefault="00E812EE" w:rsidP="00E812EE">
          <w:pPr>
            <w:rPr>
              <w:bCs/>
              <w:sz w:val="22"/>
              <w:szCs w:val="22"/>
            </w:rPr>
          </w:pPr>
          <w:r>
            <w:rPr>
              <w:bCs/>
              <w:sz w:val="22"/>
              <w:szCs w:val="22"/>
            </w:rPr>
            <w:t xml:space="preserve">La signature électronique sécurisée </w:t>
          </w:r>
          <w:r w:rsidRPr="00AF47CA">
            <w:rPr>
              <w:bCs/>
              <w:color w:val="0070C0"/>
              <w:sz w:val="22"/>
              <w:szCs w:val="22"/>
            </w:rPr>
            <w:t xml:space="preserve">n’est pas </w:t>
          </w:r>
          <w:r>
            <w:rPr>
              <w:bCs/>
              <w:sz w:val="22"/>
              <w:szCs w:val="22"/>
            </w:rPr>
            <w:t>obligatoire.</w:t>
          </w:r>
        </w:p>
        <w:p w:rsidR="00E812EE" w:rsidRDefault="00683324" w:rsidP="00E812EE">
          <w:pPr>
            <w:rPr>
              <w:bCs/>
              <w:sz w:val="22"/>
              <w:szCs w:val="22"/>
            </w:rPr>
          </w:pPr>
        </w:p>
      </w:sdtContent>
    </w:sdt>
    <w:sdt>
      <w:sdtPr>
        <w:rPr>
          <w:sz w:val="22"/>
        </w:rPr>
        <w:id w:val="-1344162402"/>
      </w:sdtPr>
      <w:sdtEndPr>
        <w:rPr>
          <w:szCs w:val="22"/>
        </w:rPr>
      </w:sdtEndPr>
      <w:sdtContent>
        <w:p w:rsidR="00E812EE" w:rsidRDefault="00683324" w:rsidP="00E812EE">
          <w:sdt>
            <w:sdtPr>
              <w:rPr>
                <w:sz w:val="22"/>
              </w:rPr>
              <w:id w:val="614792032"/>
              <w14:checkbox>
                <w14:checked w14:val="0"/>
                <w14:checkedState w14:val="2612" w14:font="MS Gothic"/>
                <w14:uncheckedState w14:val="2610" w14:font="MS Gothic"/>
              </w14:checkbox>
            </w:sdtPr>
            <w:sdtEndPr/>
            <w:sdtContent>
              <w:r w:rsidR="00E812EE" w:rsidRPr="002D568D">
                <w:rPr>
                  <w:rFonts w:ascii="MS Gothic" w:eastAsia="MS Gothic" w:hAnsi="MS Gothic" w:hint="eastAsia"/>
                  <w:sz w:val="22"/>
                </w:rPr>
                <w:t>☐</w:t>
              </w:r>
            </w:sdtContent>
          </w:sdt>
          <w:r w:rsidR="00E812EE" w:rsidRPr="002D568D">
            <w:rPr>
              <w:sz w:val="24"/>
              <w:szCs w:val="22"/>
            </w:rPr>
            <w:t xml:space="preserve"> </w:t>
          </w:r>
          <w:r w:rsidR="00E812EE">
            <w:rPr>
              <w:bCs/>
              <w:sz w:val="22"/>
              <w:szCs w:val="22"/>
            </w:rPr>
            <w:t>L’offre ne peut être remise que sous format papier : les documents listés à l’article 6 du présent règlement doivent être placés dans une seule enveloppe fermée portant uniquement les mentions suivantes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rsidR="00E812EE" w:rsidRPr="009F5FB6" w:rsidRDefault="00E812EE" w:rsidP="00E812EE">
          <w:pPr>
            <w:pStyle w:val="Corpsdetexte"/>
            <w:pBdr>
              <w:top w:val="single" w:sz="4" w:space="1" w:color="auto"/>
              <w:left w:val="single" w:sz="4" w:space="4" w:color="auto"/>
              <w:bottom w:val="single" w:sz="4" w:space="1" w:color="auto"/>
              <w:right w:val="single" w:sz="4" w:space="4" w:color="auto"/>
            </w:pBdr>
            <w:jc w:val="center"/>
          </w:pPr>
          <w:r>
            <w:t>Consultation</w:t>
          </w:r>
          <w:r w:rsidRPr="009F5FB6">
            <w:t xml:space="preserve"> pour :</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 consultation]</w:t>
          </w:r>
        </w:p>
        <w:p w:rsidR="00E812EE" w:rsidRDefault="00E812EE" w:rsidP="00E812EE">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rsidR="00E812EE" w:rsidRPr="0074322C" w:rsidRDefault="00E812EE" w:rsidP="00E812EE">
          <w:pPr>
            <w:jc w:val="both"/>
            <w:rPr>
              <w:sz w:val="22"/>
              <w:szCs w:val="22"/>
            </w:rPr>
          </w:pPr>
          <w:r w:rsidRPr="0074322C">
            <w:rPr>
              <w:sz w:val="22"/>
              <w:szCs w:val="22"/>
            </w:rPr>
            <w:t>Aucun tampon, signe distinctif ou inscription autre que celle liée à l'enregistrement de l’enveloppe ne sera toléré, exception faite des éléments de récépissé au verso de l’enveloppe, en cas d’envoi par la Poste.</w:t>
          </w:r>
        </w:p>
        <w:p w:rsidR="00E812EE" w:rsidRPr="0074322C" w:rsidRDefault="00683324" w:rsidP="00E812EE">
          <w:pPr>
            <w:jc w:val="both"/>
            <w:rPr>
              <w:sz w:val="22"/>
              <w:szCs w:val="22"/>
            </w:rPr>
          </w:pPr>
        </w:p>
      </w:sdtContent>
    </w:sdt>
    <w:sdt>
      <w:sdtPr>
        <w:rPr>
          <w:sz w:val="22"/>
        </w:rPr>
        <w:id w:val="-2092385693"/>
      </w:sdtPr>
      <w:sdtEndPr>
        <w:rPr>
          <w:bCs/>
          <w:szCs w:val="22"/>
        </w:rPr>
      </w:sdtEndPr>
      <w:sdtContent>
        <w:p w:rsidR="00E812EE" w:rsidRDefault="00683324" w:rsidP="00E812EE">
          <w:pPr>
            <w:rPr>
              <w:bCs/>
              <w:sz w:val="22"/>
              <w:szCs w:val="22"/>
            </w:rPr>
          </w:pPr>
          <w:sdt>
            <w:sdtPr>
              <w:rPr>
                <w:sz w:val="22"/>
              </w:rPr>
              <w:id w:val="1495135939"/>
              <w14:checkbox>
                <w14:checked w14:val="0"/>
                <w14:checkedState w14:val="2612" w14:font="MS Gothic"/>
                <w14:uncheckedState w14:val="2610" w14:font="MS Gothic"/>
              </w14:checkbox>
            </w:sdtPr>
            <w:sdtEndPr/>
            <w:sdtContent>
              <w:r w:rsidR="00E812EE" w:rsidRPr="002D568D">
                <w:rPr>
                  <w:rFonts w:ascii="MS Gothic" w:eastAsia="MS Gothic" w:hAnsi="MS Gothic" w:hint="eastAsia"/>
                  <w:sz w:val="22"/>
                </w:rPr>
                <w:t>☐</w:t>
              </w:r>
            </w:sdtContent>
          </w:sdt>
          <w:r w:rsidR="00E812EE" w:rsidRPr="002D568D">
            <w:rPr>
              <w:sz w:val="24"/>
              <w:szCs w:val="22"/>
            </w:rPr>
            <w:t xml:space="preserve"> </w:t>
          </w:r>
          <w:r w:rsidR="00E812EE">
            <w:rPr>
              <w:bCs/>
              <w:sz w:val="22"/>
              <w:szCs w:val="22"/>
            </w:rPr>
            <w:t xml:space="preserve">L’offre ne peut être remise que sous </w:t>
          </w:r>
          <w:r w:rsidR="00E812EE" w:rsidRPr="00AF47CA">
            <w:rPr>
              <w:bCs/>
              <w:sz w:val="22"/>
              <w:szCs w:val="22"/>
            </w:rPr>
            <w:t>forme électronique</w:t>
          </w:r>
          <w:r w:rsidR="00E812EE">
            <w:rPr>
              <w:bCs/>
              <w:sz w:val="22"/>
              <w:szCs w:val="22"/>
            </w:rPr>
            <w:t xml:space="preserve"> sur la plateforme de publication des marchés identifiée dans l’avis de consultation : tous les documents listés à l’article 6 du présent règlement doivent être déposés en une fois.</w:t>
          </w:r>
        </w:p>
        <w:p w:rsidR="00E812EE" w:rsidRDefault="00E812EE" w:rsidP="00E812EE">
          <w:pPr>
            <w:rPr>
              <w:bCs/>
              <w:sz w:val="22"/>
              <w:szCs w:val="22"/>
            </w:rPr>
          </w:pPr>
          <w:r>
            <w:rPr>
              <w:bCs/>
              <w:sz w:val="22"/>
              <w:szCs w:val="22"/>
            </w:rPr>
            <w:t xml:space="preserve">La signature électronique sécurisée </w:t>
          </w:r>
          <w:r w:rsidRPr="00AF47CA">
            <w:rPr>
              <w:bCs/>
              <w:color w:val="0070C0"/>
              <w:sz w:val="22"/>
              <w:szCs w:val="22"/>
            </w:rPr>
            <w:t xml:space="preserve">n’est pas </w:t>
          </w:r>
          <w:r>
            <w:rPr>
              <w:bCs/>
              <w:sz w:val="22"/>
              <w:szCs w:val="22"/>
            </w:rPr>
            <w:t>obligatoire.</w:t>
          </w:r>
        </w:p>
        <w:p w:rsidR="00E812EE" w:rsidRDefault="00683324" w:rsidP="00E812EE">
          <w:pPr>
            <w:rPr>
              <w:bCs/>
              <w:sz w:val="22"/>
              <w:szCs w:val="22"/>
            </w:rPr>
          </w:pPr>
        </w:p>
      </w:sdtContent>
    </w:sdt>
    <w:p w:rsidR="00E812EE" w:rsidRDefault="00E812EE" w:rsidP="00E812EE">
      <w:pPr>
        <w:rPr>
          <w:sz w:val="22"/>
          <w:szCs w:val="22"/>
        </w:rPr>
      </w:pPr>
      <w:r w:rsidRPr="00B307A2">
        <w:rPr>
          <w:bCs/>
          <w:sz w:val="22"/>
          <w:szCs w:val="22"/>
        </w:rPr>
        <w:t xml:space="preserve">L’offre doit parvenir </w:t>
      </w:r>
      <w:r>
        <w:rPr>
          <w:sz w:val="22"/>
          <w:szCs w:val="22"/>
        </w:rPr>
        <w:t>dans les conditions de date, d’heure et de lieu indiquées dans l’avis de consultation ou ses modificatifs.</w:t>
      </w:r>
    </w:p>
    <w:p w:rsidR="00E812EE" w:rsidRDefault="00E812EE" w:rsidP="00E812EE">
      <w:pPr>
        <w:rPr>
          <w:bCs/>
          <w:sz w:val="22"/>
          <w:szCs w:val="22"/>
        </w:rPr>
      </w:pPr>
    </w:p>
    <w:p w:rsidR="00E812EE" w:rsidRDefault="00E812EE" w:rsidP="00E812EE">
      <w:pPr>
        <w:rPr>
          <w:bCs/>
          <w:sz w:val="22"/>
          <w:szCs w:val="22"/>
        </w:rPr>
      </w:pPr>
      <w:r>
        <w:rPr>
          <w:bCs/>
          <w:sz w:val="22"/>
          <w:szCs w:val="22"/>
        </w:rPr>
        <w:t>Par mesure d’égalité de traitement, toute offre remise après la date et l’heure limite ne sera pas prise en considération.</w:t>
      </w:r>
    </w:p>
    <w:p w:rsidR="00E812EE" w:rsidRDefault="00E812EE" w:rsidP="00E812EE">
      <w:pPr>
        <w:rPr>
          <w:bCs/>
          <w:sz w:val="22"/>
          <w:szCs w:val="22"/>
        </w:rPr>
      </w:pPr>
    </w:p>
    <w:p w:rsidR="00E812EE" w:rsidRPr="00B307A2" w:rsidRDefault="00E812EE" w:rsidP="00E812EE">
      <w:pPr>
        <w:rPr>
          <w:bCs/>
          <w:sz w:val="22"/>
          <w:szCs w:val="22"/>
        </w:rPr>
      </w:pPr>
      <w:r>
        <w:rPr>
          <w:bCs/>
          <w:sz w:val="22"/>
          <w:szCs w:val="22"/>
        </w:rPr>
        <w:t>Toutefois, l’</w:t>
      </w:r>
      <w:r w:rsidRPr="00B307A2">
        <w:rPr>
          <w:bCs/>
          <w:sz w:val="22"/>
          <w:szCs w:val="22"/>
        </w:rPr>
        <w:t>administration peut recontacter les soumissionnaires par écrit pour préciser ou compléter la teneur de leur dossier à condition que cela ne modifie pas les éléments substantiels de leur offre</w:t>
      </w:r>
      <w:r>
        <w:rPr>
          <w:bCs/>
          <w:sz w:val="22"/>
          <w:szCs w:val="22"/>
        </w:rPr>
        <w:t xml:space="preserve"> (notamment prix, délai, conditions techniques définies par le soumissionnaire)</w:t>
      </w:r>
      <w:r w:rsidRPr="00B307A2">
        <w:rPr>
          <w:bCs/>
          <w:sz w:val="22"/>
          <w:szCs w:val="22"/>
        </w:rPr>
        <w:t>.</w:t>
      </w:r>
    </w:p>
    <w:p w:rsidR="00E812EE" w:rsidRDefault="00E812EE" w:rsidP="00E812EE">
      <w:pPr>
        <w:jc w:val="both"/>
        <w:rPr>
          <w:b/>
          <w:color w:val="000000"/>
          <w:sz w:val="22"/>
          <w:szCs w:val="22"/>
        </w:rPr>
      </w:pPr>
    </w:p>
    <w:p w:rsidR="00E812EE" w:rsidRDefault="00E812EE" w:rsidP="00E812EE">
      <w:pPr>
        <w:jc w:val="both"/>
        <w:rPr>
          <w:b/>
          <w:color w:val="000000"/>
          <w:sz w:val="22"/>
          <w:szCs w:val="22"/>
        </w:rPr>
      </w:pPr>
    </w:p>
    <w:p w:rsidR="00E812EE" w:rsidRPr="00AC4B69" w:rsidRDefault="00E812EE" w:rsidP="00E812EE">
      <w:pPr>
        <w:jc w:val="both"/>
        <w:rPr>
          <w:b/>
          <w:color w:val="000000"/>
          <w:sz w:val="22"/>
          <w:szCs w:val="22"/>
          <w:u w:val="single"/>
        </w:rPr>
      </w:pPr>
      <w:r w:rsidRPr="00AC4B69">
        <w:rPr>
          <w:b/>
          <w:color w:val="000000"/>
          <w:sz w:val="22"/>
          <w:szCs w:val="22"/>
          <w:u w:val="single"/>
        </w:rPr>
        <w:t>8 – Offres irrecevables</w:t>
      </w:r>
    </w:p>
    <w:p w:rsidR="0050757A" w:rsidRDefault="0050757A" w:rsidP="0050757A">
      <w:pPr>
        <w:jc w:val="both"/>
        <w:rPr>
          <w:color w:val="000000"/>
          <w:sz w:val="22"/>
          <w:szCs w:val="22"/>
        </w:rPr>
      </w:pPr>
    </w:p>
    <w:p w:rsidR="004D5939" w:rsidRDefault="004D5939" w:rsidP="0050757A">
      <w:pPr>
        <w:jc w:val="both"/>
        <w:rPr>
          <w:color w:val="000000"/>
          <w:sz w:val="22"/>
          <w:szCs w:val="22"/>
        </w:rPr>
      </w:pPr>
      <w:r>
        <w:rPr>
          <w:color w:val="000000"/>
          <w:sz w:val="22"/>
          <w:szCs w:val="22"/>
        </w:rPr>
        <w:t>En cas d’allotissement, les dispositions suivantes sont applicables lot par lot.</w:t>
      </w:r>
    </w:p>
    <w:p w:rsidR="004D5939" w:rsidRDefault="004D5939" w:rsidP="0050757A">
      <w:pPr>
        <w:jc w:val="both"/>
        <w:rPr>
          <w:color w:val="000000"/>
          <w:sz w:val="22"/>
          <w:szCs w:val="22"/>
        </w:rPr>
      </w:pPr>
    </w:p>
    <w:p w:rsidR="0050757A" w:rsidRPr="0050757A" w:rsidRDefault="0050757A" w:rsidP="0050757A">
      <w:pPr>
        <w:jc w:val="both"/>
        <w:rPr>
          <w:color w:val="000000"/>
          <w:sz w:val="22"/>
          <w:szCs w:val="22"/>
        </w:rPr>
      </w:pPr>
      <w:r w:rsidRPr="0050757A">
        <w:rPr>
          <w:color w:val="000000"/>
          <w:sz w:val="22"/>
          <w:szCs w:val="22"/>
        </w:rPr>
        <w:t xml:space="preserve">Les offres reçues </w:t>
      </w:r>
      <w:r w:rsidR="00A508AA">
        <w:rPr>
          <w:color w:val="000000"/>
          <w:sz w:val="22"/>
          <w:szCs w:val="22"/>
        </w:rPr>
        <w:t xml:space="preserve">dans les délais </w:t>
      </w:r>
      <w:r w:rsidRPr="0050757A">
        <w:rPr>
          <w:color w:val="000000"/>
          <w:sz w:val="22"/>
          <w:szCs w:val="22"/>
        </w:rPr>
        <w:t xml:space="preserve">seront </w:t>
      </w:r>
      <w:r>
        <w:rPr>
          <w:color w:val="000000"/>
          <w:sz w:val="22"/>
          <w:szCs w:val="22"/>
        </w:rPr>
        <w:t xml:space="preserve">jugées </w:t>
      </w:r>
      <w:r w:rsidRPr="0050757A">
        <w:rPr>
          <w:color w:val="000000"/>
          <w:sz w:val="22"/>
          <w:szCs w:val="22"/>
        </w:rPr>
        <w:t xml:space="preserve">irrecevables et éliminées si elles </w:t>
      </w:r>
      <w:r>
        <w:rPr>
          <w:color w:val="000000"/>
          <w:sz w:val="22"/>
          <w:szCs w:val="22"/>
        </w:rPr>
        <w:t>tombent dans l’une des catégories suivantes</w:t>
      </w:r>
      <w:r w:rsidRPr="0050757A">
        <w:rPr>
          <w:color w:val="000000"/>
          <w:sz w:val="22"/>
          <w:szCs w:val="22"/>
        </w:rPr>
        <w:t>.</w:t>
      </w:r>
    </w:p>
    <w:p w:rsidR="0050757A" w:rsidRDefault="0050757A" w:rsidP="0050757A">
      <w:pPr>
        <w:jc w:val="both"/>
        <w:rPr>
          <w:b/>
          <w:color w:val="000000"/>
          <w:sz w:val="22"/>
          <w:szCs w:val="22"/>
        </w:rPr>
      </w:pPr>
    </w:p>
    <w:sdt>
      <w:sdtPr>
        <w:rPr>
          <w:sz w:val="22"/>
        </w:rPr>
        <w:id w:val="-664868120"/>
        <w:placeholder>
          <w:docPart w:val="DefaultPlaceholder_1082065158"/>
        </w:placeholder>
      </w:sdtPr>
      <w:sdtEndPr>
        <w:rPr>
          <w:color w:val="000000"/>
          <w:szCs w:val="22"/>
        </w:rPr>
      </w:sdtEndPr>
      <w:sdtContent>
        <w:p w:rsidR="00BB3294" w:rsidRPr="0050757A" w:rsidRDefault="00683324" w:rsidP="00BB3294">
          <w:pPr>
            <w:jc w:val="both"/>
            <w:rPr>
              <w:b/>
              <w:color w:val="000000"/>
              <w:sz w:val="22"/>
              <w:szCs w:val="22"/>
            </w:rPr>
          </w:pPr>
          <w:sdt>
            <w:sdtPr>
              <w:rPr>
                <w:sz w:val="22"/>
              </w:rPr>
              <w:id w:val="-918951445"/>
              <w14:checkbox>
                <w14:checked w14:val="0"/>
                <w14:checkedState w14:val="2612" w14:font="MS Gothic"/>
                <w14:uncheckedState w14:val="2610" w14:font="MS Gothic"/>
              </w14:checkbox>
            </w:sdtPr>
            <w:sdtEndPr/>
            <w:sdtContent>
              <w:r w:rsidR="00BB3294" w:rsidRPr="002D568D">
                <w:rPr>
                  <w:rFonts w:ascii="MS Gothic" w:eastAsia="MS Gothic" w:hAnsi="MS Gothic" w:hint="eastAsia"/>
                  <w:sz w:val="22"/>
                </w:rPr>
                <w:t>☐</w:t>
              </w:r>
            </w:sdtContent>
          </w:sdt>
          <w:r w:rsidR="00BB3294" w:rsidRPr="002D568D">
            <w:rPr>
              <w:sz w:val="24"/>
              <w:szCs w:val="22"/>
            </w:rPr>
            <w:t xml:space="preserve"> </w:t>
          </w:r>
          <w:r w:rsidR="00BB3294" w:rsidRPr="0050757A">
            <w:rPr>
              <w:b/>
              <w:color w:val="000000"/>
              <w:sz w:val="22"/>
              <w:szCs w:val="22"/>
            </w:rPr>
            <w:t>Offre inappropriée</w:t>
          </w:r>
          <w:r w:rsidR="00BB3294">
            <w:rPr>
              <w:b/>
              <w:color w:val="000000"/>
              <w:sz w:val="22"/>
              <w:szCs w:val="22"/>
            </w:rPr>
            <w:t xml:space="preserve"> : </w:t>
          </w:r>
          <w:r w:rsidR="00BB3294" w:rsidRPr="00E8191F">
            <w:rPr>
              <w:color w:val="000000"/>
              <w:sz w:val="22"/>
              <w:szCs w:val="22"/>
            </w:rPr>
            <w:t xml:space="preserve">offre </w:t>
          </w:r>
          <w:r w:rsidR="00BB3294">
            <w:rPr>
              <w:color w:val="000000"/>
              <w:sz w:val="22"/>
              <w:szCs w:val="22"/>
            </w:rPr>
            <w:t xml:space="preserve">qui ne répond pas </w:t>
          </w:r>
          <w:r w:rsidR="00BB3294" w:rsidRPr="00E8191F">
            <w:rPr>
              <w:color w:val="000000"/>
              <w:sz w:val="22"/>
              <w:szCs w:val="22"/>
            </w:rPr>
            <w:t>au besoin et aux exigences formulés dans les documents de la consultation</w:t>
          </w:r>
          <w:r w:rsidR="00BB3294">
            <w:rPr>
              <w:color w:val="000000"/>
              <w:sz w:val="22"/>
              <w:szCs w:val="22"/>
            </w:rPr>
            <w:t>.</w:t>
          </w:r>
        </w:p>
      </w:sdtContent>
    </w:sdt>
    <w:p w:rsidR="00BB3294" w:rsidRDefault="00BB3294" w:rsidP="00BB3294">
      <w:pPr>
        <w:jc w:val="both"/>
        <w:rPr>
          <w:color w:val="000000"/>
          <w:sz w:val="22"/>
          <w:szCs w:val="22"/>
        </w:rPr>
      </w:pPr>
    </w:p>
    <w:sdt>
      <w:sdtPr>
        <w:rPr>
          <w:sz w:val="22"/>
        </w:rPr>
        <w:id w:val="1566829148"/>
        <w:placeholder>
          <w:docPart w:val="DefaultPlaceholder_1082065158"/>
        </w:placeholder>
      </w:sdtPr>
      <w:sdtEndPr>
        <w:rPr>
          <w:color w:val="000000"/>
          <w:szCs w:val="22"/>
        </w:rPr>
      </w:sdtEndPr>
      <w:sdtContent>
        <w:p w:rsidR="00BB3294" w:rsidRPr="00E8191F" w:rsidRDefault="00683324" w:rsidP="00BB3294">
          <w:pPr>
            <w:jc w:val="both"/>
            <w:rPr>
              <w:color w:val="000000"/>
              <w:sz w:val="22"/>
              <w:szCs w:val="22"/>
            </w:rPr>
          </w:pPr>
          <w:sdt>
            <w:sdtPr>
              <w:rPr>
                <w:sz w:val="22"/>
              </w:rPr>
              <w:id w:val="444432501"/>
              <w14:checkbox>
                <w14:checked w14:val="0"/>
                <w14:checkedState w14:val="2612" w14:font="MS Gothic"/>
                <w14:uncheckedState w14:val="2610" w14:font="MS Gothic"/>
              </w14:checkbox>
            </w:sdtPr>
            <w:sdtEndPr/>
            <w:sdtContent>
              <w:r w:rsidR="00BB3294">
                <w:rPr>
                  <w:rFonts w:ascii="MS Gothic" w:eastAsia="MS Gothic" w:hAnsi="MS Gothic" w:hint="eastAsia"/>
                  <w:sz w:val="22"/>
                </w:rPr>
                <w:t>☐</w:t>
              </w:r>
            </w:sdtContent>
          </w:sdt>
          <w:r w:rsidR="00BB3294" w:rsidRPr="002D568D">
            <w:rPr>
              <w:sz w:val="24"/>
              <w:szCs w:val="22"/>
            </w:rPr>
            <w:t xml:space="preserve"> </w:t>
          </w:r>
          <w:r w:rsidR="00BB3294" w:rsidRPr="0050757A">
            <w:rPr>
              <w:b/>
              <w:color w:val="000000"/>
              <w:sz w:val="22"/>
              <w:szCs w:val="22"/>
            </w:rPr>
            <w:t>Offre irrégulière</w:t>
          </w:r>
          <w:r w:rsidR="00BB3294">
            <w:rPr>
              <w:b/>
              <w:color w:val="000000"/>
              <w:sz w:val="22"/>
              <w:szCs w:val="22"/>
            </w:rPr>
            <w:t> :</w:t>
          </w:r>
          <w:r w:rsidR="00BB3294" w:rsidRPr="00E8191F">
            <w:rPr>
              <w:color w:val="000000"/>
              <w:sz w:val="22"/>
              <w:szCs w:val="22"/>
            </w:rPr>
            <w:t xml:space="preserve"> </w:t>
          </w:r>
          <w:r w:rsidR="00BB3294">
            <w:rPr>
              <w:color w:val="000000"/>
              <w:sz w:val="22"/>
              <w:szCs w:val="22"/>
            </w:rPr>
            <w:t xml:space="preserve">offre qui </w:t>
          </w:r>
          <w:r w:rsidR="00BB3294" w:rsidRPr="00E8191F">
            <w:rPr>
              <w:color w:val="000000"/>
              <w:sz w:val="22"/>
              <w:szCs w:val="22"/>
            </w:rPr>
            <w:t>ne respecte pas les exigences formulées dans les documents de consultation, en particulier parce qu’elle est incomplète, ou qui méconnaît la législation applicable.</w:t>
          </w:r>
        </w:p>
      </w:sdtContent>
    </w:sdt>
    <w:p w:rsidR="00BB3294" w:rsidRDefault="00BB3294" w:rsidP="00BB3294">
      <w:pPr>
        <w:jc w:val="both"/>
        <w:rPr>
          <w:color w:val="000000"/>
          <w:sz w:val="22"/>
          <w:szCs w:val="22"/>
        </w:rPr>
      </w:pPr>
    </w:p>
    <w:sdt>
      <w:sdtPr>
        <w:rPr>
          <w:sz w:val="22"/>
        </w:rPr>
        <w:id w:val="1532772749"/>
        <w:placeholder>
          <w:docPart w:val="DefaultPlaceholder_1082065158"/>
        </w:placeholder>
      </w:sdtPr>
      <w:sdtEndPr>
        <w:rPr>
          <w:color w:val="000000"/>
          <w:szCs w:val="22"/>
        </w:rPr>
      </w:sdtEndPr>
      <w:sdtContent>
        <w:p w:rsidR="00BB3294" w:rsidRDefault="00683324" w:rsidP="00BB3294">
          <w:pPr>
            <w:jc w:val="both"/>
            <w:rPr>
              <w:color w:val="000000"/>
              <w:sz w:val="22"/>
              <w:szCs w:val="22"/>
            </w:rPr>
          </w:pPr>
          <w:sdt>
            <w:sdtPr>
              <w:rPr>
                <w:sz w:val="22"/>
              </w:rPr>
              <w:id w:val="-1465342416"/>
              <w14:checkbox>
                <w14:checked w14:val="0"/>
                <w14:checkedState w14:val="2612" w14:font="MS Gothic"/>
                <w14:uncheckedState w14:val="2610" w14:font="MS Gothic"/>
              </w14:checkbox>
            </w:sdtPr>
            <w:sdtEndPr/>
            <w:sdtContent>
              <w:r w:rsidR="00BB3294" w:rsidRPr="002D568D">
                <w:rPr>
                  <w:rFonts w:ascii="MS Gothic" w:eastAsia="MS Gothic" w:hAnsi="MS Gothic" w:hint="eastAsia"/>
                  <w:sz w:val="22"/>
                </w:rPr>
                <w:t>☐</w:t>
              </w:r>
            </w:sdtContent>
          </w:sdt>
          <w:r w:rsidR="00BB3294" w:rsidRPr="002D568D">
            <w:rPr>
              <w:sz w:val="24"/>
              <w:szCs w:val="22"/>
            </w:rPr>
            <w:t xml:space="preserve"> </w:t>
          </w:r>
          <w:r w:rsidR="00BB3294" w:rsidRPr="0050757A">
            <w:rPr>
              <w:b/>
              <w:color w:val="000000"/>
              <w:sz w:val="22"/>
              <w:szCs w:val="22"/>
            </w:rPr>
            <w:t>Offre inacceptable</w:t>
          </w:r>
          <w:r w:rsidR="00BB3294">
            <w:rPr>
              <w:b/>
              <w:color w:val="000000"/>
              <w:sz w:val="22"/>
              <w:szCs w:val="22"/>
            </w:rPr>
            <w:t xml:space="preserve"> : </w:t>
          </w:r>
          <w:r w:rsidR="00BB3294" w:rsidRPr="00E8191F">
            <w:rPr>
              <w:color w:val="000000"/>
              <w:sz w:val="22"/>
              <w:szCs w:val="22"/>
            </w:rPr>
            <w:t xml:space="preserve">offre dont le </w:t>
          </w:r>
          <w:r w:rsidR="00BB3294" w:rsidRPr="00B307A2">
            <w:rPr>
              <w:color w:val="000000"/>
              <w:sz w:val="22"/>
              <w:szCs w:val="22"/>
            </w:rPr>
            <w:t>prix</w:t>
          </w:r>
          <w:r w:rsidR="00BB3294">
            <w:rPr>
              <w:color w:val="000000"/>
              <w:sz w:val="22"/>
              <w:szCs w:val="22"/>
            </w:rPr>
            <w:t xml:space="preserve"> global après application du scénario de l’article 9 ci-dessous</w:t>
          </w:r>
          <w:r w:rsidR="00BB3294" w:rsidRPr="00B307A2">
            <w:rPr>
              <w:color w:val="000000"/>
              <w:sz w:val="22"/>
              <w:szCs w:val="22"/>
            </w:rPr>
            <w:t xml:space="preserve"> </w:t>
          </w:r>
          <w:r w:rsidR="00BB3294">
            <w:rPr>
              <w:color w:val="000000"/>
              <w:sz w:val="22"/>
              <w:szCs w:val="22"/>
            </w:rPr>
            <w:t xml:space="preserve">est </w:t>
          </w:r>
          <w:r w:rsidR="00BB3294" w:rsidRPr="00B307A2">
            <w:rPr>
              <w:color w:val="000000"/>
              <w:sz w:val="22"/>
              <w:szCs w:val="22"/>
            </w:rPr>
            <w:t xml:space="preserve">supérieur de plus de </w:t>
          </w:r>
          <w:r w:rsidR="00BB3294" w:rsidRPr="00B307A2">
            <w:rPr>
              <w:color w:val="0070C0"/>
              <w:sz w:val="22"/>
              <w:szCs w:val="22"/>
            </w:rPr>
            <w:t>25%</w:t>
          </w:r>
          <w:r w:rsidR="00BB3294" w:rsidRPr="00B307A2">
            <w:rPr>
              <w:color w:val="000000"/>
              <w:sz w:val="22"/>
              <w:szCs w:val="22"/>
            </w:rPr>
            <w:t xml:space="preserve"> à l’estimation administrative fixée avant le lancement de l</w:t>
          </w:r>
          <w:r w:rsidR="00BB3294">
            <w:rPr>
              <w:color w:val="000000"/>
              <w:sz w:val="22"/>
              <w:szCs w:val="22"/>
            </w:rPr>
            <w:t>a consultation.</w:t>
          </w:r>
        </w:p>
      </w:sdtContent>
    </w:sdt>
    <w:p w:rsidR="00BB3294" w:rsidRDefault="00BB3294" w:rsidP="00BB3294">
      <w:pPr>
        <w:jc w:val="both"/>
        <w:rPr>
          <w:color w:val="000000"/>
          <w:sz w:val="22"/>
          <w:szCs w:val="22"/>
        </w:rPr>
      </w:pPr>
    </w:p>
    <w:sdt>
      <w:sdtPr>
        <w:rPr>
          <w:sz w:val="22"/>
        </w:rPr>
        <w:id w:val="762959222"/>
        <w:placeholder>
          <w:docPart w:val="DefaultPlaceholder_1082065158"/>
        </w:placeholder>
      </w:sdtPr>
      <w:sdtEndPr>
        <w:rPr>
          <w:color w:val="000000"/>
          <w:szCs w:val="22"/>
        </w:rPr>
      </w:sdtEndPr>
      <w:sdtContent>
        <w:p w:rsidR="00BB3294" w:rsidRDefault="00683324" w:rsidP="00BB3294">
          <w:pPr>
            <w:jc w:val="both"/>
            <w:rPr>
              <w:color w:val="000000"/>
              <w:sz w:val="22"/>
              <w:szCs w:val="22"/>
            </w:rPr>
          </w:pPr>
          <w:sdt>
            <w:sdtPr>
              <w:rPr>
                <w:sz w:val="22"/>
              </w:rPr>
              <w:id w:val="-1617134146"/>
              <w14:checkbox>
                <w14:checked w14:val="0"/>
                <w14:checkedState w14:val="2612" w14:font="MS Gothic"/>
                <w14:uncheckedState w14:val="2610" w14:font="MS Gothic"/>
              </w14:checkbox>
            </w:sdtPr>
            <w:sdtEndPr/>
            <w:sdtContent>
              <w:r w:rsidR="00BB3294" w:rsidRPr="002D568D">
                <w:rPr>
                  <w:rFonts w:ascii="MS Gothic" w:eastAsia="MS Gothic" w:hAnsi="MS Gothic" w:hint="eastAsia"/>
                  <w:sz w:val="22"/>
                </w:rPr>
                <w:t>☐</w:t>
              </w:r>
            </w:sdtContent>
          </w:sdt>
          <w:r w:rsidR="00BB3294" w:rsidRPr="002D568D">
            <w:rPr>
              <w:sz w:val="24"/>
              <w:szCs w:val="22"/>
            </w:rPr>
            <w:t xml:space="preserve"> </w:t>
          </w:r>
          <w:r w:rsidR="00BB3294" w:rsidRPr="0050757A">
            <w:rPr>
              <w:b/>
              <w:color w:val="000000"/>
              <w:sz w:val="22"/>
              <w:szCs w:val="22"/>
            </w:rPr>
            <w:t>Offre inacceptable</w:t>
          </w:r>
          <w:r w:rsidR="00BB3294">
            <w:rPr>
              <w:b/>
              <w:color w:val="000000"/>
              <w:sz w:val="22"/>
              <w:szCs w:val="22"/>
            </w:rPr>
            <w:t xml:space="preserve"> : </w:t>
          </w:r>
          <w:r w:rsidR="00BB3294" w:rsidRPr="00E8191F">
            <w:rPr>
              <w:color w:val="000000"/>
              <w:sz w:val="22"/>
              <w:szCs w:val="22"/>
            </w:rPr>
            <w:t xml:space="preserve">offre dont le </w:t>
          </w:r>
          <w:r w:rsidR="00BB3294" w:rsidRPr="00B307A2">
            <w:rPr>
              <w:color w:val="000000"/>
              <w:sz w:val="22"/>
              <w:szCs w:val="22"/>
            </w:rPr>
            <w:t>prix</w:t>
          </w:r>
          <w:r w:rsidR="00BB3294">
            <w:rPr>
              <w:color w:val="000000"/>
              <w:sz w:val="22"/>
              <w:szCs w:val="22"/>
            </w:rPr>
            <w:t xml:space="preserve"> global après application du scénario de l’article 9 ci-dessous</w:t>
          </w:r>
          <w:r w:rsidR="00BB3294" w:rsidRPr="00B307A2">
            <w:rPr>
              <w:color w:val="000000"/>
              <w:sz w:val="22"/>
              <w:szCs w:val="22"/>
            </w:rPr>
            <w:t xml:space="preserve"> </w:t>
          </w:r>
          <w:r w:rsidR="00BB3294">
            <w:rPr>
              <w:color w:val="000000"/>
              <w:sz w:val="22"/>
              <w:szCs w:val="22"/>
            </w:rPr>
            <w:t xml:space="preserve">est </w:t>
          </w:r>
          <w:r w:rsidR="00BB3294" w:rsidRPr="00B307A2">
            <w:rPr>
              <w:color w:val="000000"/>
              <w:sz w:val="22"/>
              <w:szCs w:val="22"/>
            </w:rPr>
            <w:t xml:space="preserve">supérieur </w:t>
          </w:r>
          <w:r w:rsidR="00BB3294">
            <w:rPr>
              <w:color w:val="000000"/>
              <w:sz w:val="22"/>
              <w:szCs w:val="22"/>
            </w:rPr>
            <w:t>au financement affecté au contrat par l’acheteur public, fixé avant le lancement de la consultation.</w:t>
          </w:r>
        </w:p>
      </w:sdtContent>
    </w:sdt>
    <w:p w:rsidR="00BB3294" w:rsidRPr="00B307A2" w:rsidRDefault="00BB3294" w:rsidP="00BB3294">
      <w:pPr>
        <w:jc w:val="both"/>
        <w:rPr>
          <w:sz w:val="22"/>
          <w:szCs w:val="22"/>
        </w:rPr>
      </w:pPr>
    </w:p>
    <w:sdt>
      <w:sdtPr>
        <w:rPr>
          <w:sz w:val="22"/>
        </w:rPr>
        <w:id w:val="-1441370409"/>
        <w:placeholder>
          <w:docPart w:val="DefaultPlaceholder_1082065158"/>
        </w:placeholder>
      </w:sdtPr>
      <w:sdtEndPr>
        <w:rPr>
          <w:color w:val="000000"/>
          <w:szCs w:val="22"/>
        </w:rPr>
      </w:sdtEndPr>
      <w:sdtContent>
        <w:p w:rsidR="00BB3294" w:rsidRDefault="00683324" w:rsidP="00BB3294">
          <w:pPr>
            <w:jc w:val="both"/>
            <w:rPr>
              <w:b/>
              <w:color w:val="000000"/>
              <w:sz w:val="22"/>
              <w:szCs w:val="22"/>
            </w:rPr>
          </w:pPr>
          <w:sdt>
            <w:sdtPr>
              <w:rPr>
                <w:sz w:val="22"/>
              </w:rPr>
              <w:id w:val="-1266916383"/>
              <w14:checkbox>
                <w14:checked w14:val="0"/>
                <w14:checkedState w14:val="2612" w14:font="MS Gothic"/>
                <w14:uncheckedState w14:val="2610" w14:font="MS Gothic"/>
              </w14:checkbox>
            </w:sdtPr>
            <w:sdtEndPr/>
            <w:sdtContent>
              <w:r w:rsidR="00BB3294" w:rsidRPr="002D568D">
                <w:rPr>
                  <w:rFonts w:ascii="MS Gothic" w:eastAsia="MS Gothic" w:hAnsi="MS Gothic" w:hint="eastAsia"/>
                  <w:sz w:val="22"/>
                </w:rPr>
                <w:t>☐</w:t>
              </w:r>
            </w:sdtContent>
          </w:sdt>
          <w:r w:rsidR="00BB3294" w:rsidRPr="002D568D">
            <w:rPr>
              <w:sz w:val="24"/>
              <w:szCs w:val="22"/>
            </w:rPr>
            <w:t xml:space="preserve"> </w:t>
          </w:r>
          <w:r w:rsidR="00BB3294" w:rsidRPr="0050757A">
            <w:rPr>
              <w:b/>
              <w:color w:val="000000"/>
              <w:sz w:val="22"/>
              <w:szCs w:val="22"/>
            </w:rPr>
            <w:t xml:space="preserve">Offre </w:t>
          </w:r>
          <w:r w:rsidR="00BB3294">
            <w:rPr>
              <w:b/>
              <w:color w:val="000000"/>
              <w:sz w:val="22"/>
              <w:szCs w:val="22"/>
            </w:rPr>
            <w:t>anormalement basse :</w:t>
          </w:r>
          <w:r w:rsidR="00BB3294" w:rsidRPr="00E8191F">
            <w:rPr>
              <w:color w:val="000000"/>
              <w:sz w:val="22"/>
              <w:szCs w:val="22"/>
            </w:rPr>
            <w:t xml:space="preserve"> offre dont le </w:t>
          </w:r>
          <w:r w:rsidR="00BB3294" w:rsidRPr="00B307A2">
            <w:rPr>
              <w:color w:val="000000"/>
              <w:sz w:val="22"/>
              <w:szCs w:val="22"/>
            </w:rPr>
            <w:t>prix</w:t>
          </w:r>
          <w:r w:rsidR="00BB3294">
            <w:rPr>
              <w:color w:val="000000"/>
              <w:sz w:val="22"/>
              <w:szCs w:val="22"/>
            </w:rPr>
            <w:t xml:space="preserve"> global après application du scénario de l’article 9 ci-dessous</w:t>
          </w:r>
          <w:r w:rsidR="00BB3294" w:rsidRPr="00B307A2">
            <w:rPr>
              <w:color w:val="000000"/>
              <w:sz w:val="22"/>
              <w:szCs w:val="22"/>
            </w:rPr>
            <w:t xml:space="preserve"> </w:t>
          </w:r>
          <w:r w:rsidR="00BB3294">
            <w:rPr>
              <w:color w:val="000000"/>
              <w:sz w:val="22"/>
              <w:szCs w:val="22"/>
            </w:rPr>
            <w:t xml:space="preserve">est </w:t>
          </w:r>
          <w:r w:rsidR="00BB3294" w:rsidRPr="00E8191F">
            <w:rPr>
              <w:color w:val="000000"/>
              <w:sz w:val="22"/>
              <w:szCs w:val="22"/>
            </w:rPr>
            <w:t xml:space="preserve">manifestement sous-évalué et de nature à compromettre la bonne exécution du </w:t>
          </w:r>
          <w:r w:rsidR="00BB3294">
            <w:rPr>
              <w:color w:val="000000"/>
              <w:sz w:val="22"/>
              <w:szCs w:val="22"/>
            </w:rPr>
            <w:t>contrat</w:t>
          </w:r>
          <w:r w:rsidR="00BB3294" w:rsidRPr="00E8191F">
            <w:rPr>
              <w:color w:val="000000"/>
              <w:sz w:val="22"/>
              <w:szCs w:val="22"/>
            </w:rPr>
            <w:t>.</w:t>
          </w:r>
        </w:p>
      </w:sdtContent>
    </w:sdt>
    <w:p w:rsidR="0050757A" w:rsidRPr="0050757A" w:rsidRDefault="0050757A" w:rsidP="0050757A">
      <w:pPr>
        <w:jc w:val="both"/>
        <w:rPr>
          <w:b/>
          <w:color w:val="000000"/>
          <w:sz w:val="22"/>
          <w:szCs w:val="22"/>
        </w:rPr>
      </w:pPr>
    </w:p>
    <w:p w:rsidR="00BB3294" w:rsidRDefault="00BB3294" w:rsidP="00BB3294">
      <w:pPr>
        <w:jc w:val="both"/>
        <w:rPr>
          <w:sz w:val="22"/>
          <w:szCs w:val="22"/>
        </w:rPr>
      </w:pPr>
      <w:r>
        <w:rPr>
          <w:sz w:val="22"/>
          <w:szCs w:val="22"/>
        </w:rPr>
        <w:t>Toutefois, l’administration peut régulariser toutes les offres irrégulières dès lors qu’il ne s’agit pas d’éléments substantiels de l’offre (notamment prix, délais, éléments du mémoire technique définis par le soumissionnaire).</w:t>
      </w:r>
    </w:p>
    <w:p w:rsidR="00BB3294" w:rsidRDefault="00BB3294" w:rsidP="00BB3294">
      <w:pPr>
        <w:jc w:val="both"/>
        <w:rPr>
          <w:sz w:val="22"/>
          <w:szCs w:val="22"/>
        </w:rPr>
      </w:pPr>
    </w:p>
    <w:p w:rsidR="0050757A" w:rsidRDefault="00E8191F" w:rsidP="0050757A">
      <w:pPr>
        <w:jc w:val="both"/>
        <w:rPr>
          <w:sz w:val="22"/>
          <w:szCs w:val="22"/>
        </w:rPr>
      </w:pPr>
      <w:r>
        <w:rPr>
          <w:sz w:val="22"/>
          <w:szCs w:val="22"/>
        </w:rPr>
        <w:t>Elle peut également accepter des offres qui semblent anormalement basses, mais dont le soumissionnaire aura apporté les justifications objectives et pertinentes pour son niveau de prix sur demande de l’administration.</w:t>
      </w:r>
    </w:p>
    <w:p w:rsidR="0050757A" w:rsidRDefault="0050757A" w:rsidP="0050757A">
      <w:pPr>
        <w:jc w:val="both"/>
        <w:rPr>
          <w:sz w:val="22"/>
          <w:szCs w:val="22"/>
        </w:rPr>
      </w:pPr>
    </w:p>
    <w:p w:rsidR="0050757A" w:rsidRPr="00B307A2" w:rsidRDefault="0050757A" w:rsidP="00254BB9">
      <w:pPr>
        <w:jc w:val="both"/>
        <w:rPr>
          <w:sz w:val="22"/>
          <w:szCs w:val="22"/>
        </w:rPr>
      </w:pPr>
    </w:p>
    <w:p w:rsidR="00912C23" w:rsidRPr="00AC4B69" w:rsidRDefault="0050757A" w:rsidP="00254BB9">
      <w:pPr>
        <w:jc w:val="both"/>
        <w:rPr>
          <w:b/>
          <w:sz w:val="22"/>
          <w:szCs w:val="22"/>
          <w:u w:val="single"/>
        </w:rPr>
      </w:pPr>
      <w:r w:rsidRPr="00AC4B69">
        <w:rPr>
          <w:b/>
          <w:sz w:val="22"/>
          <w:szCs w:val="22"/>
          <w:u w:val="single"/>
        </w:rPr>
        <w:t>9</w:t>
      </w:r>
      <w:r w:rsidR="00912C23" w:rsidRPr="00AC4B69">
        <w:rPr>
          <w:b/>
          <w:sz w:val="22"/>
          <w:szCs w:val="22"/>
          <w:u w:val="single"/>
        </w:rPr>
        <w:t xml:space="preserve"> – Critères </w:t>
      </w:r>
      <w:r w:rsidR="00031D5D" w:rsidRPr="00AC4B69">
        <w:rPr>
          <w:b/>
          <w:sz w:val="22"/>
          <w:szCs w:val="22"/>
          <w:u w:val="single"/>
        </w:rPr>
        <w:t>d’évaluation des offres</w:t>
      </w:r>
      <w:r w:rsidR="008438BA">
        <w:rPr>
          <w:b/>
          <w:sz w:val="22"/>
          <w:szCs w:val="22"/>
          <w:u w:val="single"/>
        </w:rPr>
        <w:t xml:space="preserve"> recevables</w:t>
      </w:r>
    </w:p>
    <w:p w:rsidR="0050757A" w:rsidRDefault="0050757A" w:rsidP="00912C23">
      <w:pPr>
        <w:jc w:val="both"/>
        <w:rPr>
          <w:color w:val="000000"/>
          <w:sz w:val="22"/>
          <w:szCs w:val="22"/>
        </w:rPr>
      </w:pPr>
    </w:p>
    <w:p w:rsidR="00BB3294" w:rsidRDefault="00BB3294" w:rsidP="00BB3294">
      <w:pPr>
        <w:jc w:val="both"/>
        <w:rPr>
          <w:color w:val="000000"/>
          <w:sz w:val="22"/>
          <w:szCs w:val="22"/>
        </w:rPr>
      </w:pPr>
      <w:r>
        <w:rPr>
          <w:color w:val="000000"/>
          <w:sz w:val="22"/>
          <w:szCs w:val="22"/>
        </w:rPr>
        <w:t>En cas d’allotissement, les dispositions suivantes sont applicables lot par lot.</w:t>
      </w:r>
    </w:p>
    <w:p w:rsidR="00BB3294" w:rsidRDefault="00BB3294" w:rsidP="00BB3294">
      <w:pPr>
        <w:jc w:val="both"/>
        <w:rPr>
          <w:color w:val="000000"/>
          <w:sz w:val="22"/>
          <w:szCs w:val="22"/>
        </w:rPr>
      </w:pPr>
    </w:p>
    <w:p w:rsidR="00BB3294" w:rsidRDefault="00BB3294" w:rsidP="00BB3294">
      <w:pPr>
        <w:jc w:val="both"/>
        <w:rPr>
          <w:color w:val="000000"/>
          <w:sz w:val="22"/>
          <w:szCs w:val="22"/>
        </w:rPr>
      </w:pPr>
      <w:r w:rsidRPr="00B307A2">
        <w:rPr>
          <w:color w:val="000000"/>
          <w:sz w:val="22"/>
          <w:szCs w:val="22"/>
        </w:rPr>
        <w:t xml:space="preserve">L’offre de chaque soumissionnaire sera évaluée sur la base des critères </w:t>
      </w:r>
      <w:r>
        <w:rPr>
          <w:color w:val="000000"/>
          <w:sz w:val="22"/>
          <w:szCs w:val="22"/>
        </w:rPr>
        <w:t>suivants :</w:t>
      </w:r>
    </w:p>
    <w:p w:rsidR="00BB3294" w:rsidRPr="00B307A2" w:rsidRDefault="00BB3294" w:rsidP="00BB3294">
      <w:pPr>
        <w:jc w:val="both"/>
        <w:rPr>
          <w:color w:val="000000"/>
          <w:sz w:val="22"/>
          <w:szCs w:val="22"/>
        </w:rPr>
      </w:pPr>
    </w:p>
    <w:p w:rsidR="00BB3294" w:rsidRPr="00B776B8" w:rsidRDefault="00BB3294" w:rsidP="00BB3294">
      <w:pPr>
        <w:jc w:val="both"/>
        <w:rPr>
          <w:b/>
          <w:color w:val="000000"/>
          <w:sz w:val="22"/>
          <w:szCs w:val="22"/>
        </w:rPr>
      </w:pPr>
      <w:r w:rsidRPr="00B776B8">
        <w:rPr>
          <w:b/>
          <w:color w:val="000000"/>
          <w:sz w:val="22"/>
          <w:szCs w:val="22"/>
        </w:rPr>
        <w:t>Critère prix</w:t>
      </w:r>
      <w:r>
        <w:rPr>
          <w:b/>
          <w:color w:val="000000"/>
          <w:sz w:val="22"/>
          <w:szCs w:val="22"/>
        </w:rPr>
        <w:t xml:space="preserve"> sur </w:t>
      </w:r>
      <w:r w:rsidRPr="00B776B8">
        <w:rPr>
          <w:b/>
          <w:color w:val="0070C0"/>
          <w:sz w:val="22"/>
          <w:szCs w:val="22"/>
        </w:rPr>
        <w:t xml:space="preserve">50 </w:t>
      </w:r>
      <w:r>
        <w:rPr>
          <w:b/>
          <w:color w:val="000000"/>
          <w:sz w:val="22"/>
          <w:szCs w:val="22"/>
        </w:rPr>
        <w:t>points maximum</w:t>
      </w:r>
    </w:p>
    <w:p w:rsidR="00BB3294" w:rsidRDefault="00BB3294" w:rsidP="00BB3294">
      <w:pPr>
        <w:jc w:val="both"/>
        <w:rPr>
          <w:color w:val="000000"/>
          <w:sz w:val="22"/>
          <w:szCs w:val="22"/>
        </w:rPr>
      </w:pPr>
    </w:p>
    <w:p w:rsidR="00BB3294" w:rsidRDefault="00BB3294" w:rsidP="00BB3294">
      <w:pPr>
        <w:jc w:val="both"/>
        <w:rPr>
          <w:color w:val="000000"/>
          <w:sz w:val="22"/>
          <w:szCs w:val="22"/>
        </w:rPr>
      </w:pPr>
      <w:r>
        <w:rPr>
          <w:color w:val="000000"/>
          <w:sz w:val="22"/>
          <w:szCs w:val="22"/>
        </w:rPr>
        <w:t>L</w:t>
      </w:r>
      <w:r w:rsidRPr="00B307A2">
        <w:rPr>
          <w:color w:val="000000"/>
          <w:sz w:val="22"/>
          <w:szCs w:val="22"/>
        </w:rPr>
        <w:t xml:space="preserve">’évaluation sera faite par comparaison </w:t>
      </w:r>
      <w:r>
        <w:rPr>
          <w:color w:val="000000"/>
          <w:sz w:val="22"/>
          <w:szCs w:val="22"/>
        </w:rPr>
        <w:t xml:space="preserve">du prix global </w:t>
      </w:r>
      <w:r w:rsidR="00227D08">
        <w:rPr>
          <w:color w:val="000000"/>
          <w:sz w:val="22"/>
          <w:szCs w:val="22"/>
        </w:rPr>
        <w:t>entre</w:t>
      </w:r>
      <w:r w:rsidRPr="00B307A2">
        <w:rPr>
          <w:color w:val="000000"/>
          <w:sz w:val="22"/>
          <w:szCs w:val="22"/>
        </w:rPr>
        <w:t xml:space="preserve"> les offres </w:t>
      </w:r>
      <w:r w:rsidR="000975FC">
        <w:rPr>
          <w:color w:val="000000"/>
          <w:sz w:val="22"/>
          <w:szCs w:val="22"/>
        </w:rPr>
        <w:t>recevables</w:t>
      </w:r>
      <w:r w:rsidR="000975FC" w:rsidRPr="00B307A2">
        <w:rPr>
          <w:color w:val="000000"/>
          <w:sz w:val="22"/>
          <w:szCs w:val="22"/>
        </w:rPr>
        <w:t xml:space="preserve"> </w:t>
      </w:r>
      <w:r w:rsidRPr="00B307A2">
        <w:rPr>
          <w:color w:val="000000"/>
          <w:sz w:val="22"/>
          <w:szCs w:val="22"/>
        </w:rPr>
        <w:t>reçues des soumissionnaires.</w:t>
      </w:r>
    </w:p>
    <w:p w:rsidR="00227D08" w:rsidRDefault="00227D08" w:rsidP="00BB3294">
      <w:pPr>
        <w:jc w:val="both"/>
        <w:rPr>
          <w:color w:val="000000"/>
          <w:sz w:val="22"/>
          <w:szCs w:val="22"/>
        </w:rPr>
      </w:pPr>
    </w:p>
    <w:p w:rsidR="00227D08" w:rsidRDefault="00227D08" w:rsidP="00227D08">
      <w:pPr>
        <w:jc w:val="both"/>
        <w:rPr>
          <w:color w:val="000000"/>
          <w:sz w:val="22"/>
          <w:szCs w:val="22"/>
        </w:rPr>
      </w:pPr>
      <w:r>
        <w:rPr>
          <w:color w:val="000000"/>
          <w:sz w:val="22"/>
          <w:szCs w:val="22"/>
        </w:rPr>
        <w:t>Le prix global est la somme du montant forfaitaire et du montant des prestations réglées sur prix unitaires, obtenu en appliquant le scénario de quantités suivant aux prix unitaires HT proposés par chaque soumissionnaire</w:t>
      </w:r>
      <w:r w:rsidRPr="00B307A2">
        <w:rPr>
          <w:color w:val="000000"/>
          <w:sz w:val="22"/>
          <w:szCs w:val="22"/>
        </w:rPr>
        <w:t>.</w:t>
      </w:r>
    </w:p>
    <w:p w:rsidR="00227D08" w:rsidRDefault="00227D08" w:rsidP="00227D08">
      <w:pPr>
        <w:jc w:val="both"/>
        <w:rPr>
          <w:color w:val="000000"/>
          <w:sz w:val="22"/>
          <w:szCs w:val="22"/>
        </w:rPr>
      </w:pPr>
    </w:p>
    <w:tbl>
      <w:tblPr>
        <w:tblStyle w:val="Grilledutableau"/>
        <w:tblpPr w:leftFromText="141" w:rightFromText="141" w:vertAnchor="text" w:tblpX="108" w:tblpY="1"/>
        <w:tblOverlap w:val="never"/>
        <w:tblW w:w="8647" w:type="dxa"/>
        <w:tblLayout w:type="fixed"/>
        <w:tblLook w:val="04A0" w:firstRow="1" w:lastRow="0" w:firstColumn="1" w:lastColumn="0" w:noHBand="0" w:noVBand="1"/>
      </w:tblPr>
      <w:tblGrid>
        <w:gridCol w:w="4820"/>
        <w:gridCol w:w="2268"/>
        <w:gridCol w:w="1559"/>
      </w:tblGrid>
      <w:tr w:rsidR="00227D08" w:rsidRPr="00712CF6" w:rsidTr="00E812EE">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7D08" w:rsidRPr="00712CF6" w:rsidRDefault="00227D08" w:rsidP="00E812EE">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7D08" w:rsidRPr="00712CF6" w:rsidRDefault="00227D08" w:rsidP="00E812EE">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7D08" w:rsidRPr="00712CF6" w:rsidRDefault="00227D08" w:rsidP="00E812EE">
            <w:pPr>
              <w:spacing w:before="80"/>
              <w:jc w:val="center"/>
              <w:rPr>
                <w:sz w:val="22"/>
                <w:szCs w:val="22"/>
              </w:rPr>
            </w:pPr>
            <w:r>
              <w:rPr>
                <w:sz w:val="22"/>
                <w:szCs w:val="22"/>
              </w:rPr>
              <w:t>Quantité</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Pr>
                <w:color w:val="0070C0"/>
                <w:sz w:val="22"/>
                <w:szCs w:val="22"/>
              </w:rPr>
              <w:t>Maintenance préventive trimestrielle</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Pr>
                <w:color w:val="0070C0"/>
                <w:sz w:val="22"/>
                <w:szCs w:val="22"/>
              </w:rPr>
              <w:t>12</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Pr>
                <w:color w:val="0070C0"/>
                <w:sz w:val="22"/>
                <w:szCs w:val="22"/>
              </w:rPr>
              <w:t>Maintenance préventive : fourniture consommable type 1</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sidRPr="00CB382D">
              <w:rPr>
                <w:color w:val="0070C0"/>
                <w:sz w:val="22"/>
                <w:szCs w:val="22"/>
              </w:rPr>
              <w:t>12</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Default="00227D08" w:rsidP="00E812EE">
            <w:pPr>
              <w:spacing w:before="60" w:after="60"/>
              <w:rPr>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27D08" w:rsidRDefault="00227D08" w:rsidP="00E812EE">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sidRPr="00B26737">
              <w:rPr>
                <w:color w:val="0070C0"/>
                <w:sz w:val="22"/>
                <w:szCs w:val="22"/>
              </w:rPr>
              <w:t>Maintenance curative : heure de dépannage</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Pr>
                <w:color w:val="0070C0"/>
                <w:sz w:val="22"/>
                <w:szCs w:val="22"/>
              </w:rPr>
              <w:t>Homme.heure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sidRPr="00CB382D">
              <w:rPr>
                <w:color w:val="0070C0"/>
                <w:sz w:val="22"/>
                <w:szCs w:val="22"/>
              </w:rPr>
              <w:t>36</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A74062" w:rsidRDefault="00227D08" w:rsidP="00E812EE">
            <w:pPr>
              <w:spacing w:before="60" w:after="60"/>
              <w:rPr>
                <w:sz w:val="22"/>
                <w:szCs w:val="22"/>
              </w:rPr>
            </w:pPr>
            <w:r w:rsidRPr="00B26737">
              <w:rPr>
                <w:color w:val="0070C0"/>
                <w:sz w:val="22"/>
                <w:szCs w:val="22"/>
              </w:rPr>
              <w:t xml:space="preserve">Maintenance curative : </w:t>
            </w:r>
            <w:r>
              <w:rPr>
                <w:color w:val="0070C0"/>
                <w:sz w:val="22"/>
                <w:szCs w:val="22"/>
              </w:rPr>
              <w:t>déplacement</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Pr>
                <w:color w:val="0070C0"/>
                <w:sz w:val="22"/>
                <w:szCs w:val="22"/>
              </w:rPr>
              <w:t>15</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B26737" w:rsidRDefault="00227D08" w:rsidP="00E812EE">
            <w:pPr>
              <w:spacing w:before="60" w:after="60"/>
              <w:rPr>
                <w:color w:val="0070C0"/>
                <w:sz w:val="22"/>
                <w:szCs w:val="22"/>
              </w:rPr>
            </w:pPr>
            <w:r w:rsidRPr="00B26737">
              <w:rPr>
                <w:color w:val="0070C0"/>
                <w:sz w:val="22"/>
                <w:szCs w:val="22"/>
              </w:rPr>
              <w:t>Maintenance curative : fourniture pièce type 1</w:t>
            </w:r>
          </w:p>
        </w:tc>
        <w:tc>
          <w:tcPr>
            <w:tcW w:w="2268" w:type="dxa"/>
            <w:tcBorders>
              <w:top w:val="single" w:sz="4" w:space="0" w:color="auto"/>
              <w:left w:val="single" w:sz="4" w:space="0" w:color="auto"/>
              <w:bottom w:val="single" w:sz="4" w:space="0" w:color="auto"/>
              <w:right w:val="single" w:sz="4" w:space="0" w:color="auto"/>
            </w:tcBorders>
          </w:tcPr>
          <w:p w:rsidR="00227D08" w:rsidRPr="00E23A36" w:rsidRDefault="00227D08" w:rsidP="00E812EE">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r>
              <w:rPr>
                <w:color w:val="0070C0"/>
                <w:sz w:val="22"/>
                <w:szCs w:val="22"/>
              </w:rPr>
              <w:t>2</w:t>
            </w:r>
          </w:p>
        </w:tc>
      </w:tr>
      <w:tr w:rsidR="00227D08" w:rsidRPr="00A74062" w:rsidTr="00E812EE">
        <w:tc>
          <w:tcPr>
            <w:tcW w:w="4820" w:type="dxa"/>
            <w:tcBorders>
              <w:top w:val="single" w:sz="4" w:space="0" w:color="auto"/>
              <w:left w:val="single" w:sz="4" w:space="0" w:color="auto"/>
              <w:bottom w:val="single" w:sz="4" w:space="0" w:color="auto"/>
              <w:right w:val="single" w:sz="4" w:space="0" w:color="auto"/>
            </w:tcBorders>
          </w:tcPr>
          <w:p w:rsidR="00227D08" w:rsidRPr="00B26737" w:rsidRDefault="00227D08" w:rsidP="00E812EE">
            <w:pPr>
              <w:spacing w:before="60" w:after="60"/>
              <w:rPr>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27D08" w:rsidRDefault="00227D08" w:rsidP="00E812EE">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7D08" w:rsidRPr="00CB382D" w:rsidRDefault="00227D08" w:rsidP="00E812EE">
            <w:pPr>
              <w:spacing w:before="60" w:after="60"/>
              <w:jc w:val="center"/>
              <w:rPr>
                <w:color w:val="0070C0"/>
                <w:sz w:val="22"/>
                <w:szCs w:val="22"/>
              </w:rPr>
            </w:pPr>
          </w:p>
        </w:tc>
      </w:tr>
    </w:tbl>
    <w:p w:rsidR="00A47D4C" w:rsidRDefault="00227D08" w:rsidP="00BB3294">
      <w:pPr>
        <w:jc w:val="both"/>
        <w:rPr>
          <w:b/>
          <w:color w:val="000000"/>
          <w:sz w:val="22"/>
          <w:szCs w:val="22"/>
        </w:rPr>
      </w:pPr>
      <w:r>
        <w:rPr>
          <w:color w:val="000000"/>
          <w:sz w:val="22"/>
          <w:szCs w:val="22"/>
        </w:rPr>
        <w:br w:type="textWrapping" w:clear="all"/>
      </w:r>
    </w:p>
    <w:p w:rsidR="00A47D4C" w:rsidRPr="007B3191" w:rsidRDefault="00A47D4C" w:rsidP="00A47D4C">
      <w:pPr>
        <w:jc w:val="both"/>
        <w:rPr>
          <w:b/>
          <w:color w:val="000000"/>
          <w:sz w:val="22"/>
          <w:szCs w:val="22"/>
        </w:rPr>
      </w:pPr>
      <w:r w:rsidRPr="007B3191">
        <w:rPr>
          <w:b/>
          <w:color w:val="000000"/>
          <w:sz w:val="22"/>
          <w:szCs w:val="22"/>
        </w:rPr>
        <w:t xml:space="preserve">Critère valeur technique sur </w:t>
      </w:r>
      <w:r w:rsidRPr="007B3191">
        <w:rPr>
          <w:b/>
          <w:color w:val="0070C0"/>
          <w:sz w:val="22"/>
          <w:szCs w:val="22"/>
        </w:rPr>
        <w:t xml:space="preserve">40 </w:t>
      </w:r>
      <w:r w:rsidRPr="007B3191">
        <w:rPr>
          <w:b/>
          <w:color w:val="000000"/>
          <w:sz w:val="22"/>
          <w:szCs w:val="22"/>
        </w:rPr>
        <w:t>points maximum</w:t>
      </w:r>
    </w:p>
    <w:p w:rsidR="00A47D4C" w:rsidRPr="00B307A2" w:rsidRDefault="00A47D4C" w:rsidP="00A47D4C">
      <w:pPr>
        <w:jc w:val="both"/>
        <w:rPr>
          <w:color w:val="000000"/>
          <w:sz w:val="22"/>
          <w:szCs w:val="22"/>
        </w:rPr>
      </w:pPr>
    </w:p>
    <w:p w:rsidR="00A47D4C" w:rsidRDefault="00A47D4C" w:rsidP="00A47D4C">
      <w:pPr>
        <w:jc w:val="both"/>
        <w:rPr>
          <w:sz w:val="22"/>
          <w:szCs w:val="22"/>
        </w:rPr>
      </w:pPr>
      <w:r w:rsidRPr="001230DA">
        <w:rPr>
          <w:sz w:val="22"/>
          <w:szCs w:val="22"/>
        </w:rPr>
        <w:t>L’évaluation sera faite sur la base des éléments fournis par le soumissionnaire dans un mémoire technique ayant trait aux différents sujets suivants :</w:t>
      </w:r>
    </w:p>
    <w:p w:rsidR="00A47D4C" w:rsidRPr="001230DA" w:rsidRDefault="00A47D4C" w:rsidP="00A47D4C">
      <w:pPr>
        <w:jc w:val="both"/>
        <w:rPr>
          <w:sz w:val="22"/>
          <w:szCs w:val="22"/>
        </w:rPr>
      </w:pPr>
    </w:p>
    <w:sdt>
      <w:sdtPr>
        <w:rPr>
          <w:sz w:val="22"/>
          <w:szCs w:val="22"/>
        </w:rPr>
        <w:id w:val="1073091845"/>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1143037657"/>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expertise technique ou savoir-faire particulier apportant une plus-value technique à l’exécution du contrat, à démontrer par les références, les compétences des personnels, et / ou d’éventuelles certifications : </w:t>
          </w:r>
          <w:r w:rsidRPr="007B3191">
            <w:rPr>
              <w:color w:val="0070C0"/>
              <w:sz w:val="22"/>
              <w:szCs w:val="22"/>
            </w:rPr>
            <w:t xml:space="preserve">15 </w:t>
          </w:r>
          <w:r w:rsidRPr="007B3191">
            <w:rPr>
              <w:sz w:val="22"/>
              <w:szCs w:val="22"/>
            </w:rPr>
            <w:t>points maximum ;</w:t>
          </w:r>
        </w:p>
      </w:sdtContent>
    </w:sdt>
    <w:sdt>
      <w:sdtPr>
        <w:rPr>
          <w:sz w:val="22"/>
          <w:szCs w:val="22"/>
        </w:rPr>
        <w:id w:val="-1871985488"/>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1197199177"/>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organisation et méthodologie d’exécution des prestations : </w:t>
          </w:r>
          <w:r w:rsidRPr="007B3191">
            <w:rPr>
              <w:color w:val="0070C0"/>
              <w:sz w:val="22"/>
              <w:szCs w:val="22"/>
            </w:rPr>
            <w:t xml:space="preserve">25 </w:t>
          </w:r>
          <w:r w:rsidRPr="007B3191">
            <w:rPr>
              <w:sz w:val="22"/>
              <w:szCs w:val="22"/>
            </w:rPr>
            <w:t>points maximum ;</w:t>
          </w:r>
        </w:p>
      </w:sdtContent>
    </w:sdt>
    <w:sdt>
      <w:sdtPr>
        <w:rPr>
          <w:sz w:val="22"/>
          <w:szCs w:val="22"/>
        </w:rPr>
        <w:id w:val="-2061241383"/>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800664699"/>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w:t>
          </w:r>
          <w:r>
            <w:rPr>
              <w:sz w:val="22"/>
              <w:szCs w:val="22"/>
            </w:rPr>
            <w:t>moyens humains, effectifs</w:t>
          </w:r>
          <w:r w:rsidRPr="007B3191">
            <w:rPr>
              <w:sz w:val="22"/>
              <w:szCs w:val="22"/>
            </w:rPr>
            <w:t xml:space="preserve"> : </w:t>
          </w:r>
          <w:r>
            <w:rPr>
              <w:color w:val="0070C0"/>
              <w:sz w:val="22"/>
              <w:szCs w:val="22"/>
            </w:rPr>
            <w:t>15</w:t>
          </w:r>
          <w:r w:rsidRPr="007B3191">
            <w:rPr>
              <w:color w:val="0070C0"/>
              <w:sz w:val="22"/>
              <w:szCs w:val="22"/>
            </w:rPr>
            <w:t xml:space="preserve"> </w:t>
          </w:r>
          <w:r w:rsidRPr="007B3191">
            <w:rPr>
              <w:sz w:val="22"/>
              <w:szCs w:val="22"/>
            </w:rPr>
            <w:t>points maximum ;</w:t>
          </w:r>
        </w:p>
      </w:sdtContent>
    </w:sdt>
    <w:sdt>
      <w:sdtPr>
        <w:rPr>
          <w:sz w:val="22"/>
          <w:szCs w:val="22"/>
        </w:rPr>
        <w:id w:val="-371851673"/>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2139211329"/>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moyens techniques, matériaux utilisés : </w:t>
          </w:r>
          <w:r w:rsidRPr="007B3191">
            <w:rPr>
              <w:color w:val="0070C0"/>
              <w:sz w:val="22"/>
              <w:szCs w:val="22"/>
            </w:rPr>
            <w:t xml:space="preserve">10 </w:t>
          </w:r>
          <w:r w:rsidRPr="007B3191">
            <w:rPr>
              <w:sz w:val="22"/>
              <w:szCs w:val="22"/>
            </w:rPr>
            <w:t>points maximum,</w:t>
          </w:r>
        </w:p>
      </w:sdtContent>
    </w:sdt>
    <w:sdt>
      <w:sdtPr>
        <w:rPr>
          <w:sz w:val="22"/>
          <w:szCs w:val="22"/>
        </w:rPr>
        <w:id w:val="-631169909"/>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366060862"/>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performance des matériels (vitesse, débit, résolution d’image, …) : </w:t>
          </w:r>
          <w:r w:rsidRPr="007B3191">
            <w:rPr>
              <w:color w:val="0070C0"/>
              <w:sz w:val="22"/>
              <w:szCs w:val="22"/>
            </w:rPr>
            <w:t xml:space="preserve">20 </w:t>
          </w:r>
          <w:r w:rsidRPr="007B3191">
            <w:rPr>
              <w:sz w:val="22"/>
              <w:szCs w:val="22"/>
            </w:rPr>
            <w:t>points maximum,</w:t>
          </w:r>
        </w:p>
      </w:sdtContent>
    </w:sdt>
    <w:sdt>
      <w:sdtPr>
        <w:rPr>
          <w:sz w:val="22"/>
          <w:szCs w:val="22"/>
        </w:rPr>
        <w:id w:val="-2108796350"/>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549466338"/>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conditions de la garantie (délai d’intervention, taux de disponibilité garanti, …) : </w:t>
          </w:r>
          <w:r w:rsidRPr="007B3191">
            <w:rPr>
              <w:color w:val="0070C0"/>
              <w:sz w:val="22"/>
              <w:szCs w:val="22"/>
            </w:rPr>
            <w:t xml:space="preserve">10 </w:t>
          </w:r>
          <w:r w:rsidRPr="007B3191">
            <w:rPr>
              <w:sz w:val="22"/>
              <w:szCs w:val="22"/>
            </w:rPr>
            <w:t>points maximum</w:t>
          </w:r>
        </w:p>
      </w:sdtContent>
    </w:sdt>
    <w:sdt>
      <w:sdtPr>
        <w:rPr>
          <w:sz w:val="22"/>
          <w:szCs w:val="22"/>
        </w:rPr>
        <w:id w:val="1332641586"/>
      </w:sdtPr>
      <w:sdtEndPr/>
      <w:sdtContent>
        <w:p w:rsidR="00A47D4C" w:rsidRPr="007B3191" w:rsidRDefault="00A47D4C" w:rsidP="00A47D4C">
          <w:pPr>
            <w:ind w:left="709" w:hanging="142"/>
            <w:jc w:val="both"/>
            <w:rPr>
              <w:sz w:val="22"/>
              <w:szCs w:val="22"/>
            </w:rPr>
          </w:pPr>
          <w:r w:rsidRPr="007B3191">
            <w:rPr>
              <w:sz w:val="22"/>
              <w:szCs w:val="22"/>
            </w:rPr>
            <w:t xml:space="preserve">- </w:t>
          </w:r>
          <w:sdt>
            <w:sdtPr>
              <w:rPr>
                <w:sz w:val="22"/>
                <w:szCs w:val="22"/>
              </w:rPr>
              <w:id w:val="1746607582"/>
              <w14:checkbox>
                <w14:checked w14:val="0"/>
                <w14:checkedState w14:val="2612" w14:font="MS Gothic"/>
                <w14:uncheckedState w14:val="2610" w14:font="MS Gothic"/>
              </w14:checkbox>
            </w:sdtPr>
            <w:sdtEndPr/>
            <w:sdtContent>
              <w:r w:rsidRPr="007B3191">
                <w:rPr>
                  <w:rFonts w:eastAsia="MS Gothic" w:hint="eastAsia"/>
                  <w:sz w:val="22"/>
                  <w:szCs w:val="22"/>
                </w:rPr>
                <w:t>☐</w:t>
              </w:r>
            </w:sdtContent>
          </w:sdt>
          <w:r w:rsidRPr="007B3191">
            <w:rPr>
              <w:sz w:val="22"/>
              <w:szCs w:val="22"/>
            </w:rPr>
            <w:t xml:space="preserve"> démarche de développement durable dans l’exécution du contrat : </w:t>
          </w:r>
          <w:r w:rsidRPr="007B3191">
            <w:rPr>
              <w:color w:val="0070C0"/>
              <w:sz w:val="22"/>
              <w:szCs w:val="22"/>
            </w:rPr>
            <w:t>5</w:t>
          </w:r>
          <w:r w:rsidRPr="007B3191">
            <w:rPr>
              <w:sz w:val="22"/>
              <w:szCs w:val="22"/>
            </w:rPr>
            <w:t xml:space="preserve"> points maximum</w:t>
          </w:r>
        </w:p>
      </w:sdtContent>
    </w:sdt>
    <w:p w:rsidR="00A47D4C" w:rsidRPr="00B307A2" w:rsidRDefault="00A47D4C" w:rsidP="00A47D4C">
      <w:pPr>
        <w:jc w:val="both"/>
        <w:rPr>
          <w:color w:val="000000"/>
          <w:sz w:val="22"/>
          <w:szCs w:val="22"/>
        </w:rPr>
      </w:pPr>
    </w:p>
    <w:sdt>
      <w:sdtPr>
        <w:rPr>
          <w:sz w:val="22"/>
          <w:szCs w:val="22"/>
        </w:rPr>
        <w:id w:val="-1173184028"/>
      </w:sdtPr>
      <w:sdtEndPr/>
      <w:sdtContent>
        <w:p w:rsidR="00A47D4C" w:rsidRPr="007B3191" w:rsidRDefault="00683324" w:rsidP="00A47D4C">
          <w:pPr>
            <w:jc w:val="both"/>
            <w:rPr>
              <w:b/>
              <w:color w:val="000000"/>
              <w:sz w:val="22"/>
              <w:szCs w:val="22"/>
            </w:rPr>
          </w:pPr>
          <w:sdt>
            <w:sdtPr>
              <w:rPr>
                <w:sz w:val="22"/>
                <w:szCs w:val="22"/>
              </w:rPr>
              <w:id w:val="-733774967"/>
              <w14:checkbox>
                <w14:checked w14:val="0"/>
                <w14:checkedState w14:val="2612" w14:font="MS Gothic"/>
                <w14:uncheckedState w14:val="2610" w14:font="MS Gothic"/>
              </w14:checkbox>
            </w:sdtPr>
            <w:sdtEndPr/>
            <w:sdtContent>
              <w:r w:rsidR="00A47D4C" w:rsidRPr="007B3191">
                <w:rPr>
                  <w:rFonts w:eastAsia="MS Gothic" w:hint="eastAsia"/>
                  <w:sz w:val="22"/>
                  <w:szCs w:val="22"/>
                </w:rPr>
                <w:t>☐</w:t>
              </w:r>
            </w:sdtContent>
          </w:sdt>
          <w:r w:rsidR="00A47D4C" w:rsidRPr="007B3191">
            <w:rPr>
              <w:sz w:val="22"/>
              <w:szCs w:val="22"/>
            </w:rPr>
            <w:t xml:space="preserve"> </w:t>
          </w:r>
          <w:r w:rsidR="00A47D4C" w:rsidRPr="007B3191">
            <w:rPr>
              <w:b/>
              <w:color w:val="000000"/>
              <w:sz w:val="22"/>
              <w:szCs w:val="22"/>
            </w:rPr>
            <w:t xml:space="preserve">Critère délai sur </w:t>
          </w:r>
          <w:r w:rsidR="00A47D4C" w:rsidRPr="007B3191">
            <w:rPr>
              <w:b/>
              <w:color w:val="0070C0"/>
              <w:sz w:val="22"/>
              <w:szCs w:val="22"/>
            </w:rPr>
            <w:t xml:space="preserve">10 </w:t>
          </w:r>
          <w:r w:rsidR="00A47D4C" w:rsidRPr="007B3191">
            <w:rPr>
              <w:b/>
              <w:color w:val="000000"/>
              <w:sz w:val="22"/>
              <w:szCs w:val="22"/>
            </w:rPr>
            <w:t>points maximum</w:t>
          </w:r>
        </w:p>
        <w:p w:rsidR="00A47D4C" w:rsidRDefault="00A47D4C" w:rsidP="00A47D4C">
          <w:pPr>
            <w:jc w:val="both"/>
            <w:rPr>
              <w:b/>
              <w:color w:val="000000"/>
              <w:sz w:val="22"/>
              <w:szCs w:val="22"/>
            </w:rPr>
          </w:pPr>
        </w:p>
        <w:p w:rsidR="00A47D4C" w:rsidRDefault="00A47D4C" w:rsidP="00A47D4C">
          <w:pPr>
            <w:jc w:val="both"/>
            <w:rPr>
              <w:sz w:val="22"/>
              <w:szCs w:val="22"/>
            </w:rPr>
          </w:pPr>
          <w:r w:rsidRPr="001230DA">
            <w:rPr>
              <w:sz w:val="22"/>
              <w:szCs w:val="22"/>
            </w:rPr>
            <w:t>L’évaluation sera faite par comparaison avec les offres acceptables reç</w:t>
          </w:r>
          <w:r>
            <w:rPr>
              <w:sz w:val="22"/>
              <w:szCs w:val="22"/>
            </w:rPr>
            <w:t xml:space="preserve">ues des autres soumissionnaires sur le </w:t>
          </w:r>
          <w:r w:rsidRPr="0050757A">
            <w:rPr>
              <w:color w:val="0070C0"/>
              <w:sz w:val="22"/>
              <w:szCs w:val="22"/>
            </w:rPr>
            <w:t>[délai particulier concernant  …]</w:t>
          </w:r>
          <w:r>
            <w:rPr>
              <w:sz w:val="22"/>
              <w:szCs w:val="22"/>
            </w:rPr>
            <w:t>.</w:t>
          </w:r>
        </w:p>
        <w:p w:rsidR="00A47D4C" w:rsidRDefault="00683324" w:rsidP="00A47D4C">
          <w:pPr>
            <w:jc w:val="both"/>
            <w:rPr>
              <w:sz w:val="22"/>
              <w:szCs w:val="22"/>
            </w:rPr>
          </w:pPr>
        </w:p>
      </w:sdtContent>
    </w:sdt>
    <w:p w:rsidR="00A47D4C" w:rsidRDefault="00A47D4C" w:rsidP="00A47D4C">
      <w:pPr>
        <w:jc w:val="both"/>
        <w:rPr>
          <w:sz w:val="22"/>
          <w:szCs w:val="22"/>
        </w:rPr>
      </w:pPr>
      <w:r w:rsidRPr="00D72C55">
        <w:rPr>
          <w:sz w:val="22"/>
          <w:szCs w:val="22"/>
          <w:u w:val="single"/>
        </w:rPr>
        <w:t>Les méthodes de notation utilisées seront les suivantes</w:t>
      </w:r>
      <w:r>
        <w:rPr>
          <w:sz w:val="22"/>
          <w:szCs w:val="22"/>
        </w:rPr>
        <w:t xml:space="preserve"> :</w:t>
      </w:r>
    </w:p>
    <w:p w:rsidR="00BB3294" w:rsidRDefault="00BB3294" w:rsidP="00BB3294">
      <w:pPr>
        <w:jc w:val="both"/>
        <w:rPr>
          <w:b/>
          <w:sz w:val="22"/>
          <w:szCs w:val="22"/>
        </w:rPr>
      </w:pPr>
    </w:p>
    <w:p w:rsidR="00BB3294" w:rsidRDefault="00BB3294" w:rsidP="00BB3294">
      <w:pPr>
        <w:jc w:val="both"/>
        <w:rPr>
          <w:sz w:val="22"/>
          <w:szCs w:val="22"/>
        </w:rPr>
      </w:pPr>
      <w:r>
        <w:rPr>
          <w:b/>
          <w:sz w:val="22"/>
          <w:szCs w:val="22"/>
        </w:rPr>
        <w:t>Formule</w:t>
      </w:r>
      <w:r>
        <w:rPr>
          <w:sz w:val="22"/>
          <w:szCs w:val="22"/>
        </w:rPr>
        <w:t xml:space="preserve">, pour les critères quantitatifs : </w:t>
      </w:r>
      <w:r>
        <w:rPr>
          <w:color w:val="000000" w:themeColor="text1"/>
          <w:sz w:val="22"/>
          <w:szCs w:val="22"/>
        </w:rPr>
        <w:t xml:space="preserve">prix </w:t>
      </w:r>
      <w:r>
        <w:rPr>
          <w:color w:val="0070C0"/>
          <w:sz w:val="22"/>
          <w:szCs w:val="22"/>
        </w:rPr>
        <w:t>et délais</w:t>
      </w:r>
    </w:p>
    <w:p w:rsidR="00BB3294" w:rsidRDefault="00BB3294" w:rsidP="00BB3294">
      <w:pPr>
        <w:jc w:val="both"/>
        <w:rPr>
          <w:sz w:val="22"/>
          <w:szCs w:val="22"/>
        </w:rPr>
      </w:pPr>
      <w:r>
        <w:rPr>
          <w:sz w:val="22"/>
          <w:szCs w:val="22"/>
        </w:rPr>
        <w:t>Note attribuée = note maximale du critère x (paramètre le moins élevé parmi les candidats) / (paramètre du candidat analysé).</w:t>
      </w:r>
    </w:p>
    <w:p w:rsidR="00BB3294" w:rsidRDefault="00BB3294" w:rsidP="00BB3294">
      <w:pPr>
        <w:jc w:val="both"/>
        <w:rPr>
          <w:b/>
          <w:sz w:val="22"/>
          <w:szCs w:val="22"/>
        </w:rPr>
      </w:pPr>
    </w:p>
    <w:p w:rsidR="00BB3294" w:rsidRDefault="00BB3294" w:rsidP="00BB3294">
      <w:pPr>
        <w:jc w:val="both"/>
        <w:rPr>
          <w:sz w:val="22"/>
          <w:szCs w:val="22"/>
        </w:rPr>
      </w:pPr>
      <w:r>
        <w:rPr>
          <w:b/>
          <w:sz w:val="22"/>
          <w:szCs w:val="22"/>
        </w:rPr>
        <w:t>Echelle de notation</w:t>
      </w:r>
      <w:r>
        <w:rPr>
          <w:sz w:val="22"/>
          <w:szCs w:val="22"/>
        </w:rPr>
        <w:t xml:space="preserve">, pour les sous-critères de valeur technique : </w:t>
      </w:r>
    </w:p>
    <w:p w:rsidR="00BB3294" w:rsidRDefault="00BB3294" w:rsidP="00BB3294">
      <w:pPr>
        <w:jc w:val="both"/>
        <w:rPr>
          <w:sz w:val="22"/>
          <w:szCs w:val="22"/>
        </w:rPr>
      </w:pPr>
      <w:r>
        <w:rPr>
          <w:sz w:val="22"/>
          <w:szCs w:val="22"/>
        </w:rPr>
        <w:t xml:space="preserve">Note attribuée = note maximale du </w:t>
      </w:r>
      <w:r>
        <w:rPr>
          <w:color w:val="000000" w:themeColor="text1"/>
          <w:sz w:val="22"/>
          <w:szCs w:val="22"/>
        </w:rPr>
        <w:t xml:space="preserve">sous-critère </w:t>
      </w:r>
      <w:r>
        <w:rPr>
          <w:sz w:val="22"/>
          <w:szCs w:val="22"/>
        </w:rPr>
        <w:t>x coefficient de l’échelle de notation ci-dessous.</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très satisfaisante (excellente) :</w:t>
      </w:r>
      <w:r>
        <w:rPr>
          <w:rFonts w:ascii="Times New Roman" w:hAnsi="Times New Roman" w:cs="Times New Roman"/>
        </w:rPr>
        <w:tab/>
        <w:t>100 %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satisfaisante (bonne) :</w:t>
      </w:r>
      <w:r>
        <w:rPr>
          <w:rFonts w:ascii="Times New Roman" w:hAnsi="Times New Roman" w:cs="Times New Roman"/>
        </w:rPr>
        <w:tab/>
      </w:r>
      <w:r>
        <w:rPr>
          <w:rFonts w:ascii="Times New Roman" w:hAnsi="Times New Roman" w:cs="Times New Roman"/>
        </w:rPr>
        <w:tab/>
        <w:t xml:space="preserve">  75 %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passable (moyenne) :</w:t>
      </w:r>
      <w:r>
        <w:rPr>
          <w:rFonts w:ascii="Times New Roman" w:hAnsi="Times New Roman" w:cs="Times New Roman"/>
        </w:rPr>
        <w:tab/>
      </w:r>
      <w:r>
        <w:rPr>
          <w:rFonts w:ascii="Times New Roman" w:hAnsi="Times New Roman" w:cs="Times New Roman"/>
        </w:rPr>
        <w:tab/>
        <w:t xml:space="preserve">  50 %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Réponse insuffisante (médiocre) :</w:t>
      </w:r>
      <w:r>
        <w:rPr>
          <w:rFonts w:ascii="Times New Roman" w:hAnsi="Times New Roman" w:cs="Times New Roman"/>
        </w:rPr>
        <w:tab/>
      </w:r>
      <w:r>
        <w:rPr>
          <w:rFonts w:ascii="Times New Roman" w:hAnsi="Times New Roman" w:cs="Times New Roman"/>
        </w:rPr>
        <w:tab/>
        <w:t xml:space="preserve">  25 % de la note maximale</w:t>
      </w:r>
    </w:p>
    <w:p w:rsidR="00BB3294" w:rsidRDefault="00BB3294" w:rsidP="00BB3294">
      <w:pPr>
        <w:pStyle w:val="Listenormale"/>
        <w:numPr>
          <w:ilvl w:val="0"/>
          <w:numId w:val="27"/>
        </w:numPr>
        <w:rPr>
          <w:rFonts w:ascii="Times New Roman" w:hAnsi="Times New Roman" w:cs="Times New Roman"/>
        </w:rPr>
      </w:pPr>
      <w:r>
        <w:rPr>
          <w:rFonts w:ascii="Times New Roman" w:hAnsi="Times New Roman" w:cs="Times New Roman"/>
        </w:rPr>
        <w:t>Eléments non fournis ou inexploitables :</w:t>
      </w:r>
      <w:r>
        <w:rPr>
          <w:rFonts w:ascii="Times New Roman" w:hAnsi="Times New Roman" w:cs="Times New Roman"/>
        </w:rPr>
        <w:tab/>
        <w:t xml:space="preserve">    0 % de la note maximale</w:t>
      </w:r>
    </w:p>
    <w:p w:rsidR="00BB3294" w:rsidRDefault="00BB3294" w:rsidP="00BB3294">
      <w:pPr>
        <w:jc w:val="both"/>
        <w:rPr>
          <w:sz w:val="22"/>
          <w:szCs w:val="22"/>
        </w:rPr>
      </w:pPr>
    </w:p>
    <w:p w:rsidR="00BB3294" w:rsidRDefault="00BB3294" w:rsidP="00BB3294">
      <w:pPr>
        <w:jc w:val="both"/>
        <w:rPr>
          <w:sz w:val="22"/>
          <w:szCs w:val="22"/>
        </w:rPr>
      </w:pPr>
      <w:r>
        <w:rPr>
          <w:sz w:val="22"/>
          <w:szCs w:val="22"/>
        </w:rPr>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rsidR="00BB3294" w:rsidRDefault="00BB3294" w:rsidP="00BB3294">
      <w:pPr>
        <w:jc w:val="both"/>
        <w:rPr>
          <w:sz w:val="22"/>
          <w:szCs w:val="22"/>
        </w:rPr>
      </w:pPr>
    </w:p>
    <w:p w:rsidR="00BB3294" w:rsidRDefault="00BB3294" w:rsidP="00BB3294">
      <w:pPr>
        <w:jc w:val="both"/>
        <w:rPr>
          <w:sz w:val="22"/>
          <w:szCs w:val="22"/>
        </w:rPr>
      </w:pPr>
      <w:r>
        <w:rPr>
          <w:sz w:val="22"/>
          <w:szCs w:val="22"/>
        </w:rPr>
        <w:t>Chaque note de sous-critère ou de critère est arrondie à la 1ère décimale, quelle que soit l’étape de calcul.</w:t>
      </w:r>
    </w:p>
    <w:p w:rsidR="00885601" w:rsidRDefault="00885601" w:rsidP="00B307A2">
      <w:pPr>
        <w:jc w:val="both"/>
        <w:rPr>
          <w:sz w:val="22"/>
          <w:szCs w:val="22"/>
        </w:rPr>
      </w:pPr>
    </w:p>
    <w:p w:rsidR="00194978" w:rsidRPr="00B307A2" w:rsidRDefault="00194978" w:rsidP="00B307A2">
      <w:pPr>
        <w:jc w:val="both"/>
        <w:rPr>
          <w:sz w:val="22"/>
          <w:szCs w:val="22"/>
        </w:rPr>
      </w:pPr>
    </w:p>
    <w:p w:rsidR="006E29FA" w:rsidRPr="00AC4B69" w:rsidRDefault="00E939CE" w:rsidP="006E29FA">
      <w:pPr>
        <w:rPr>
          <w:b/>
          <w:bCs/>
          <w:sz w:val="22"/>
          <w:szCs w:val="22"/>
          <w:u w:val="single"/>
        </w:rPr>
      </w:pPr>
      <w:r w:rsidRPr="00AC4B69">
        <w:rPr>
          <w:b/>
          <w:bCs/>
          <w:sz w:val="22"/>
          <w:szCs w:val="22"/>
          <w:u w:val="single"/>
        </w:rPr>
        <w:t>10</w:t>
      </w:r>
      <w:r w:rsidR="00EF5E39" w:rsidRPr="00AC4B69">
        <w:rPr>
          <w:b/>
          <w:bCs/>
          <w:sz w:val="22"/>
          <w:szCs w:val="22"/>
          <w:u w:val="single"/>
        </w:rPr>
        <w:t xml:space="preserve"> - </w:t>
      </w:r>
      <w:r w:rsidR="006E29FA" w:rsidRPr="00AC4B69">
        <w:rPr>
          <w:b/>
          <w:bCs/>
          <w:sz w:val="22"/>
          <w:szCs w:val="22"/>
          <w:u w:val="single"/>
        </w:rPr>
        <w:t>Suites de la consultation</w:t>
      </w:r>
    </w:p>
    <w:p w:rsidR="008F4294" w:rsidRPr="00B307A2" w:rsidRDefault="008F4294" w:rsidP="008438BA">
      <w:pPr>
        <w:rPr>
          <w:sz w:val="22"/>
          <w:szCs w:val="22"/>
        </w:rPr>
      </w:pPr>
    </w:p>
    <w:p w:rsidR="004D5939" w:rsidRDefault="004D5939" w:rsidP="004D5939">
      <w:pPr>
        <w:jc w:val="both"/>
        <w:rPr>
          <w:color w:val="000000"/>
          <w:sz w:val="22"/>
          <w:szCs w:val="22"/>
        </w:rPr>
      </w:pPr>
      <w:r>
        <w:rPr>
          <w:color w:val="000000"/>
          <w:sz w:val="22"/>
          <w:szCs w:val="22"/>
        </w:rPr>
        <w:t>En cas d’allotissement, les dispositions suivantes sont applicables lot par lot.</w:t>
      </w:r>
    </w:p>
    <w:p w:rsidR="008237B8" w:rsidRDefault="008237B8" w:rsidP="008237B8">
      <w:pPr>
        <w:jc w:val="both"/>
        <w:rPr>
          <w:color w:val="000000"/>
          <w:sz w:val="22"/>
          <w:szCs w:val="22"/>
        </w:rPr>
      </w:pPr>
    </w:p>
    <w:p w:rsidR="008237B8" w:rsidRPr="003A1463" w:rsidRDefault="008237B8" w:rsidP="008237B8">
      <w:pPr>
        <w:jc w:val="both"/>
        <w:rPr>
          <w:color w:val="000000"/>
          <w:sz w:val="22"/>
          <w:szCs w:val="22"/>
        </w:rPr>
      </w:pPr>
      <w:r w:rsidRPr="003A1463">
        <w:rPr>
          <w:color w:val="000000"/>
          <w:sz w:val="22"/>
          <w:szCs w:val="22"/>
        </w:rPr>
        <w:t>Le soumissionnaire le mieux classé sera attributaire du contrat, sous réserve de vérification de la régularité fiscale et sociale.</w:t>
      </w:r>
    </w:p>
    <w:p w:rsidR="004D5939" w:rsidRDefault="004D5939" w:rsidP="004D5939">
      <w:pPr>
        <w:jc w:val="both"/>
        <w:rPr>
          <w:color w:val="000000"/>
          <w:sz w:val="22"/>
          <w:szCs w:val="22"/>
        </w:rPr>
      </w:pPr>
    </w:p>
    <w:p w:rsidR="006E29FA" w:rsidRPr="00B307A2" w:rsidRDefault="006E29FA" w:rsidP="008438BA">
      <w:pPr>
        <w:rPr>
          <w:sz w:val="22"/>
          <w:szCs w:val="22"/>
        </w:rPr>
      </w:pPr>
      <w:r w:rsidRPr="00B307A2">
        <w:rPr>
          <w:sz w:val="22"/>
          <w:szCs w:val="22"/>
        </w:rPr>
        <w:t>Toutefois,</w:t>
      </w:r>
      <w:r w:rsidR="00E939CE" w:rsidRPr="00B307A2">
        <w:rPr>
          <w:sz w:val="22"/>
          <w:szCs w:val="22"/>
        </w:rPr>
        <w:t xml:space="preserve"> </w:t>
      </w:r>
      <w:r w:rsidR="00EF5E39" w:rsidRPr="00B307A2">
        <w:rPr>
          <w:sz w:val="22"/>
          <w:szCs w:val="22"/>
        </w:rPr>
        <w:t xml:space="preserve">si aucune offre n’est jugée satisfaisante, </w:t>
      </w:r>
      <w:r w:rsidRPr="00B307A2">
        <w:rPr>
          <w:sz w:val="22"/>
          <w:szCs w:val="22"/>
        </w:rPr>
        <w:t xml:space="preserve">l’administration peut </w:t>
      </w:r>
      <w:r w:rsidR="00903BEA" w:rsidRPr="00B307A2">
        <w:rPr>
          <w:sz w:val="22"/>
          <w:szCs w:val="22"/>
        </w:rPr>
        <w:t>consulter de nouveau</w:t>
      </w:r>
      <w:r w:rsidRPr="00B307A2">
        <w:rPr>
          <w:sz w:val="22"/>
          <w:szCs w:val="22"/>
        </w:rPr>
        <w:t xml:space="preserve"> l</w:t>
      </w:r>
      <w:r w:rsidR="00EF5E39" w:rsidRPr="00B307A2">
        <w:rPr>
          <w:sz w:val="22"/>
          <w:szCs w:val="22"/>
        </w:rPr>
        <w:t>’ensemble des</w:t>
      </w:r>
      <w:r w:rsidRPr="00B307A2">
        <w:rPr>
          <w:sz w:val="22"/>
          <w:szCs w:val="22"/>
        </w:rPr>
        <w:t xml:space="preserve"> soumissionnaires en vue de parfaire leurs offres ou de négocier les prix, sans remettre en cause les éléments essentiels de la consultation.</w:t>
      </w:r>
    </w:p>
    <w:p w:rsidR="008F4294" w:rsidRPr="00B307A2" w:rsidRDefault="008F4294" w:rsidP="008438BA">
      <w:pPr>
        <w:rPr>
          <w:sz w:val="22"/>
          <w:szCs w:val="22"/>
        </w:rPr>
      </w:pPr>
    </w:p>
    <w:p w:rsidR="006E29FA" w:rsidRPr="00B307A2" w:rsidRDefault="006E29FA" w:rsidP="008438BA">
      <w:pPr>
        <w:rPr>
          <w:sz w:val="22"/>
          <w:szCs w:val="22"/>
        </w:rPr>
      </w:pPr>
      <w:r w:rsidRPr="00B307A2">
        <w:rPr>
          <w:sz w:val="22"/>
          <w:szCs w:val="22"/>
        </w:rPr>
        <w:t>Par ailleurs, elle reste discrétionnairement libre de ne pas donner suite</w:t>
      </w:r>
      <w:r w:rsidR="00B776B8">
        <w:rPr>
          <w:sz w:val="22"/>
          <w:szCs w:val="22"/>
        </w:rPr>
        <w:t xml:space="preserve"> ou de ne donner qu’une suite partielle</w:t>
      </w:r>
      <w:r w:rsidRPr="00B307A2">
        <w:rPr>
          <w:sz w:val="22"/>
          <w:szCs w:val="22"/>
        </w:rPr>
        <w:t xml:space="preserve"> à la présente consultation.</w:t>
      </w:r>
    </w:p>
    <w:sectPr w:rsidR="006E29FA" w:rsidRPr="00B307A2" w:rsidSect="00E812EE">
      <w:headerReference w:type="default" r:id="rId9"/>
      <w:footerReference w:type="default" r:id="rId10"/>
      <w:pgSz w:w="11906" w:h="16838"/>
      <w:pgMar w:top="1134" w:right="1417" w:bottom="993" w:left="1417" w:header="567"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1C" w:rsidRDefault="002D271C" w:rsidP="002D271C">
      <w:r>
        <w:separator/>
      </w:r>
    </w:p>
  </w:endnote>
  <w:endnote w:type="continuationSeparator" w:id="0">
    <w:p w:rsidR="002D271C" w:rsidRDefault="002D271C" w:rsidP="002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1C" w:rsidRPr="00E812EE" w:rsidRDefault="002D271C" w:rsidP="00E812EE">
    <w:pPr>
      <w:pStyle w:val="Pieddepage"/>
      <w:pBdr>
        <w:top w:val="single" w:sz="4" w:space="1" w:color="auto"/>
      </w:pBdr>
      <w:jc w:val="center"/>
      <w:rPr>
        <w:color w:val="0070C0"/>
        <w:sz w:val="16"/>
      </w:rPr>
    </w:pPr>
    <w:r w:rsidRPr="00483DA6">
      <w:rPr>
        <w:color w:val="0070C0"/>
        <w:sz w:val="16"/>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1C" w:rsidRDefault="002D271C" w:rsidP="002D271C">
      <w:r>
        <w:separator/>
      </w:r>
    </w:p>
  </w:footnote>
  <w:footnote w:type="continuationSeparator" w:id="0">
    <w:p w:rsidR="002D271C" w:rsidRDefault="002D271C" w:rsidP="002D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1C" w:rsidRDefault="002D271C">
    <w:pPr>
      <w:pStyle w:val="En-tte"/>
    </w:pPr>
    <w:r w:rsidRPr="00483DA6">
      <w:rPr>
        <w:sz w:val="16"/>
      </w:rPr>
      <w:t xml:space="preserve">CONTRAT </w:t>
    </w:r>
    <w:r>
      <w:rPr>
        <w:sz w:val="16"/>
      </w:rPr>
      <w:t>HYBRIDE FORFAIT ET BONS DE COMMANDES Règlement de la consultation</w:t>
    </w:r>
    <w:r w:rsidRPr="00483DA6">
      <w:rPr>
        <w:sz w:val="18"/>
      </w:rPr>
      <w:tab/>
    </w:r>
    <w:r w:rsidRPr="00483DA6">
      <w:tab/>
      <w:t xml:space="preserve">Page </w:t>
    </w:r>
    <w:r w:rsidRPr="00483DA6">
      <w:fldChar w:fldCharType="begin"/>
    </w:r>
    <w:r w:rsidRPr="00483DA6">
      <w:instrText xml:space="preserve"> PAGE   \* MERGEFORMAT </w:instrText>
    </w:r>
    <w:r w:rsidRPr="00483DA6">
      <w:fldChar w:fldCharType="separate"/>
    </w:r>
    <w:r w:rsidR="00683324">
      <w:rPr>
        <w:noProof/>
      </w:rPr>
      <w:t>1</w:t>
    </w:r>
    <w:r w:rsidRPr="00483DA6">
      <w:fldChar w:fldCharType="end"/>
    </w:r>
    <w:r w:rsidRPr="00483DA6">
      <w:t xml:space="preserve"> sur </w:t>
    </w:r>
    <w:r w:rsidR="00FA4383">
      <w:rPr>
        <w:noProof/>
      </w:rPr>
      <w:fldChar w:fldCharType="begin"/>
    </w:r>
    <w:r w:rsidR="00FA4383">
      <w:rPr>
        <w:noProof/>
      </w:rPr>
      <w:instrText xml:space="preserve"> SECTIONPAGES   \* MERGEFORMAT </w:instrText>
    </w:r>
    <w:r w:rsidR="00FA4383">
      <w:rPr>
        <w:noProof/>
      </w:rPr>
      <w:fldChar w:fldCharType="separate"/>
    </w:r>
    <w:r w:rsidR="00683324">
      <w:rPr>
        <w:noProof/>
      </w:rPr>
      <w:t>3</w:t>
    </w:r>
    <w:r w:rsidR="00FA438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95D"/>
    <w:multiLevelType w:val="hybridMultilevel"/>
    <w:tmpl w:val="2606385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C015EC"/>
    <w:multiLevelType w:val="hybridMultilevel"/>
    <w:tmpl w:val="681C8C26"/>
    <w:lvl w:ilvl="0" w:tplc="009E0382">
      <w:numFmt w:val="bullet"/>
      <w:lvlText w:val="-"/>
      <w:lvlJc w:val="left"/>
      <w:pPr>
        <w:ind w:left="1930" w:hanging="360"/>
      </w:pPr>
      <w:rPr>
        <w:rFonts w:ascii="Times New Roman" w:eastAsia="Times New Roman" w:hAnsi="Times New Roman" w:cs="Times New Roman" w:hint="default"/>
      </w:rPr>
    </w:lvl>
    <w:lvl w:ilvl="1" w:tplc="040C0003">
      <w:start w:val="1"/>
      <w:numFmt w:val="bullet"/>
      <w:lvlText w:val="o"/>
      <w:lvlJc w:val="left"/>
      <w:pPr>
        <w:ind w:left="2650" w:hanging="360"/>
      </w:pPr>
      <w:rPr>
        <w:rFonts w:ascii="Courier New" w:hAnsi="Courier New" w:cs="Courier New" w:hint="default"/>
      </w:rPr>
    </w:lvl>
    <w:lvl w:ilvl="2" w:tplc="040C0005">
      <w:start w:val="1"/>
      <w:numFmt w:val="bullet"/>
      <w:lvlText w:val=""/>
      <w:lvlJc w:val="left"/>
      <w:pPr>
        <w:ind w:left="3370" w:hanging="360"/>
      </w:pPr>
      <w:rPr>
        <w:rFonts w:ascii="Wingdings" w:hAnsi="Wingdings" w:hint="default"/>
      </w:rPr>
    </w:lvl>
    <w:lvl w:ilvl="3" w:tplc="040C0001">
      <w:start w:val="1"/>
      <w:numFmt w:val="bullet"/>
      <w:lvlText w:val=""/>
      <w:lvlJc w:val="left"/>
      <w:pPr>
        <w:ind w:left="4090" w:hanging="360"/>
      </w:pPr>
      <w:rPr>
        <w:rFonts w:ascii="Symbol" w:hAnsi="Symbol" w:hint="default"/>
      </w:rPr>
    </w:lvl>
    <w:lvl w:ilvl="4" w:tplc="040C0003">
      <w:start w:val="1"/>
      <w:numFmt w:val="bullet"/>
      <w:lvlText w:val="o"/>
      <w:lvlJc w:val="left"/>
      <w:pPr>
        <w:ind w:left="4810" w:hanging="360"/>
      </w:pPr>
      <w:rPr>
        <w:rFonts w:ascii="Courier New" w:hAnsi="Courier New" w:cs="Courier New" w:hint="default"/>
      </w:rPr>
    </w:lvl>
    <w:lvl w:ilvl="5" w:tplc="040C0005">
      <w:start w:val="1"/>
      <w:numFmt w:val="bullet"/>
      <w:lvlText w:val=""/>
      <w:lvlJc w:val="left"/>
      <w:pPr>
        <w:ind w:left="5530" w:hanging="360"/>
      </w:pPr>
      <w:rPr>
        <w:rFonts w:ascii="Wingdings" w:hAnsi="Wingdings" w:hint="default"/>
      </w:rPr>
    </w:lvl>
    <w:lvl w:ilvl="6" w:tplc="040C0001">
      <w:start w:val="1"/>
      <w:numFmt w:val="bullet"/>
      <w:lvlText w:val=""/>
      <w:lvlJc w:val="left"/>
      <w:pPr>
        <w:ind w:left="6250" w:hanging="360"/>
      </w:pPr>
      <w:rPr>
        <w:rFonts w:ascii="Symbol" w:hAnsi="Symbol" w:hint="default"/>
      </w:rPr>
    </w:lvl>
    <w:lvl w:ilvl="7" w:tplc="040C0003">
      <w:start w:val="1"/>
      <w:numFmt w:val="bullet"/>
      <w:lvlText w:val="o"/>
      <w:lvlJc w:val="left"/>
      <w:pPr>
        <w:ind w:left="6970" w:hanging="360"/>
      </w:pPr>
      <w:rPr>
        <w:rFonts w:ascii="Courier New" w:hAnsi="Courier New" w:cs="Courier New" w:hint="default"/>
      </w:rPr>
    </w:lvl>
    <w:lvl w:ilvl="8" w:tplc="040C0005">
      <w:start w:val="1"/>
      <w:numFmt w:val="bullet"/>
      <w:lvlText w:val=""/>
      <w:lvlJc w:val="left"/>
      <w:pPr>
        <w:ind w:left="7690" w:hanging="360"/>
      </w:pPr>
      <w:rPr>
        <w:rFonts w:ascii="Wingdings" w:hAnsi="Wingdings" w:hint="default"/>
      </w:rPr>
    </w:lvl>
  </w:abstractNum>
  <w:abstractNum w:abstractNumId="2">
    <w:nsid w:val="0F487C78"/>
    <w:multiLevelType w:val="hybridMultilevel"/>
    <w:tmpl w:val="A072D6BC"/>
    <w:lvl w:ilvl="0" w:tplc="D0C0E76E">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D20A5A"/>
    <w:multiLevelType w:val="hybridMultilevel"/>
    <w:tmpl w:val="7324C6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4D4E87"/>
    <w:multiLevelType w:val="hybridMultilevel"/>
    <w:tmpl w:val="A248237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F814833"/>
    <w:multiLevelType w:val="hybridMultilevel"/>
    <w:tmpl w:val="F54AA7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492AF5"/>
    <w:multiLevelType w:val="hybridMultilevel"/>
    <w:tmpl w:val="453C6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8">
    <w:nsid w:val="33992C8E"/>
    <w:multiLevelType w:val="hybridMultilevel"/>
    <w:tmpl w:val="F6A24884"/>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4158A5"/>
    <w:multiLevelType w:val="hybridMultilevel"/>
    <w:tmpl w:val="128859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FC6237E"/>
    <w:multiLevelType w:val="hybridMultilevel"/>
    <w:tmpl w:val="B156D3E2"/>
    <w:lvl w:ilvl="0" w:tplc="040C0005">
      <w:start w:val="1"/>
      <w:numFmt w:val="bullet"/>
      <w:lvlText w:val=""/>
      <w:lvlJc w:val="left"/>
      <w:pPr>
        <w:tabs>
          <w:tab w:val="num" w:pos="1080"/>
        </w:tabs>
        <w:ind w:left="1080" w:hanging="360"/>
      </w:pPr>
      <w:rPr>
        <w:rFonts w:ascii="Wingdings" w:hAnsi="Wingding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56D012C"/>
    <w:multiLevelType w:val="hybridMultilevel"/>
    <w:tmpl w:val="5840ECDA"/>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5FB57AD7"/>
    <w:multiLevelType w:val="hybridMultilevel"/>
    <w:tmpl w:val="3E60694E"/>
    <w:lvl w:ilvl="0" w:tplc="2BCA6864">
      <w:start w:val="1"/>
      <w:numFmt w:val="decimal"/>
      <w:lvlText w:val="%1)"/>
      <w:lvlJc w:val="left"/>
      <w:pPr>
        <w:tabs>
          <w:tab w:val="num" w:pos="720"/>
        </w:tabs>
        <w:ind w:left="720" w:hanging="360"/>
      </w:pPr>
      <w:rPr>
        <w:rFonts w:ascii="Arial" w:eastAsia="Times New Roman" w:hAnsi="Arial" w:cs="Aria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5BD3070"/>
    <w:multiLevelType w:val="hybridMultilevel"/>
    <w:tmpl w:val="459271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F84EA8"/>
    <w:multiLevelType w:val="hybridMultilevel"/>
    <w:tmpl w:val="B734E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10"/>
  </w:num>
  <w:num w:numId="13">
    <w:abstractNumId w:val="14"/>
  </w:num>
  <w:num w:numId="14">
    <w:abstractNumId w:val="5"/>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6"/>
  </w:num>
  <w:num w:numId="21">
    <w:abstractNumId w:val="9"/>
  </w:num>
  <w:num w:numId="22">
    <w:abstractNumId w:val="16"/>
  </w:num>
  <w:num w:numId="23">
    <w:abstractNumId w:val="15"/>
  </w:num>
  <w:num w:numId="24">
    <w:abstractNumId w:val="0"/>
  </w:num>
  <w:num w:numId="25">
    <w:abstractNumId w:val="2"/>
  </w:num>
  <w:num w:numId="26">
    <w:abstractNumId w:val="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9E"/>
    <w:rsid w:val="00001E41"/>
    <w:rsid w:val="00005873"/>
    <w:rsid w:val="000155CE"/>
    <w:rsid w:val="00031D5D"/>
    <w:rsid w:val="0009462A"/>
    <w:rsid w:val="000975FC"/>
    <w:rsid w:val="000B32EA"/>
    <w:rsid w:val="0011747C"/>
    <w:rsid w:val="001230DA"/>
    <w:rsid w:val="0013147E"/>
    <w:rsid w:val="00141501"/>
    <w:rsid w:val="00143302"/>
    <w:rsid w:val="001665E8"/>
    <w:rsid w:val="001869F3"/>
    <w:rsid w:val="00194978"/>
    <w:rsid w:val="00194D6B"/>
    <w:rsid w:val="001C3C75"/>
    <w:rsid w:val="001D4EF6"/>
    <w:rsid w:val="001D6E94"/>
    <w:rsid w:val="001E7F5A"/>
    <w:rsid w:val="00214D63"/>
    <w:rsid w:val="00227D08"/>
    <w:rsid w:val="002378F7"/>
    <w:rsid w:val="00254BB9"/>
    <w:rsid w:val="00293E57"/>
    <w:rsid w:val="0029605A"/>
    <w:rsid w:val="002C1C9D"/>
    <w:rsid w:val="002D271C"/>
    <w:rsid w:val="002D41DE"/>
    <w:rsid w:val="00307296"/>
    <w:rsid w:val="00342C05"/>
    <w:rsid w:val="003B0EB8"/>
    <w:rsid w:val="003B1E60"/>
    <w:rsid w:val="003C693B"/>
    <w:rsid w:val="003D37DB"/>
    <w:rsid w:val="003D7D89"/>
    <w:rsid w:val="003E11CF"/>
    <w:rsid w:val="003E6D8D"/>
    <w:rsid w:val="004529A5"/>
    <w:rsid w:val="00455C67"/>
    <w:rsid w:val="00467515"/>
    <w:rsid w:val="004C2596"/>
    <w:rsid w:val="004D0CA0"/>
    <w:rsid w:val="004D5939"/>
    <w:rsid w:val="004E44D4"/>
    <w:rsid w:val="004E708E"/>
    <w:rsid w:val="0050757A"/>
    <w:rsid w:val="005250A3"/>
    <w:rsid w:val="00534A55"/>
    <w:rsid w:val="00542EAF"/>
    <w:rsid w:val="00565DBD"/>
    <w:rsid w:val="0057608F"/>
    <w:rsid w:val="005C4EAA"/>
    <w:rsid w:val="005F13CC"/>
    <w:rsid w:val="005F1EE3"/>
    <w:rsid w:val="006043B8"/>
    <w:rsid w:val="00625753"/>
    <w:rsid w:val="00630AD4"/>
    <w:rsid w:val="00631056"/>
    <w:rsid w:val="00637ED1"/>
    <w:rsid w:val="006475E8"/>
    <w:rsid w:val="00657B57"/>
    <w:rsid w:val="006652C6"/>
    <w:rsid w:val="00683324"/>
    <w:rsid w:val="006945AB"/>
    <w:rsid w:val="006B1C4D"/>
    <w:rsid w:val="006D75F1"/>
    <w:rsid w:val="006E29FA"/>
    <w:rsid w:val="006E6EA0"/>
    <w:rsid w:val="007024E1"/>
    <w:rsid w:val="00716C2D"/>
    <w:rsid w:val="00717DCD"/>
    <w:rsid w:val="00730A1C"/>
    <w:rsid w:val="00731DAD"/>
    <w:rsid w:val="00734FAE"/>
    <w:rsid w:val="00754C95"/>
    <w:rsid w:val="007E08DC"/>
    <w:rsid w:val="007E12B0"/>
    <w:rsid w:val="007E1745"/>
    <w:rsid w:val="007F1CDF"/>
    <w:rsid w:val="007F5201"/>
    <w:rsid w:val="008237B8"/>
    <w:rsid w:val="008337C3"/>
    <w:rsid w:val="008438BA"/>
    <w:rsid w:val="00847C40"/>
    <w:rsid w:val="0085781C"/>
    <w:rsid w:val="008608E0"/>
    <w:rsid w:val="00870138"/>
    <w:rsid w:val="00883A2C"/>
    <w:rsid w:val="00885601"/>
    <w:rsid w:val="008C52C1"/>
    <w:rsid w:val="008C5F61"/>
    <w:rsid w:val="008D768C"/>
    <w:rsid w:val="008E31D5"/>
    <w:rsid w:val="008F4254"/>
    <w:rsid w:val="008F4294"/>
    <w:rsid w:val="00903BEA"/>
    <w:rsid w:val="00912C23"/>
    <w:rsid w:val="009169A0"/>
    <w:rsid w:val="009627CE"/>
    <w:rsid w:val="0098651E"/>
    <w:rsid w:val="00995316"/>
    <w:rsid w:val="009A05F5"/>
    <w:rsid w:val="009B5858"/>
    <w:rsid w:val="009C0EC3"/>
    <w:rsid w:val="009C46AB"/>
    <w:rsid w:val="009D6177"/>
    <w:rsid w:val="00A455A8"/>
    <w:rsid w:val="00A47D4C"/>
    <w:rsid w:val="00A508AA"/>
    <w:rsid w:val="00A52B0A"/>
    <w:rsid w:val="00A70391"/>
    <w:rsid w:val="00A835CF"/>
    <w:rsid w:val="00AB4B58"/>
    <w:rsid w:val="00AC4B69"/>
    <w:rsid w:val="00AD75CD"/>
    <w:rsid w:val="00AE5958"/>
    <w:rsid w:val="00AF3306"/>
    <w:rsid w:val="00B02D8B"/>
    <w:rsid w:val="00B14F91"/>
    <w:rsid w:val="00B164CD"/>
    <w:rsid w:val="00B307A2"/>
    <w:rsid w:val="00B35350"/>
    <w:rsid w:val="00B41E2D"/>
    <w:rsid w:val="00B5297F"/>
    <w:rsid w:val="00B61D03"/>
    <w:rsid w:val="00B776B8"/>
    <w:rsid w:val="00B96D45"/>
    <w:rsid w:val="00BB3294"/>
    <w:rsid w:val="00BF29C6"/>
    <w:rsid w:val="00C01AC3"/>
    <w:rsid w:val="00C12F58"/>
    <w:rsid w:val="00C140C1"/>
    <w:rsid w:val="00C37B71"/>
    <w:rsid w:val="00C50ED1"/>
    <w:rsid w:val="00CD4372"/>
    <w:rsid w:val="00CE61A7"/>
    <w:rsid w:val="00CE7ECE"/>
    <w:rsid w:val="00D215B5"/>
    <w:rsid w:val="00D2569A"/>
    <w:rsid w:val="00D3119E"/>
    <w:rsid w:val="00D46568"/>
    <w:rsid w:val="00D64FE2"/>
    <w:rsid w:val="00D80371"/>
    <w:rsid w:val="00D80524"/>
    <w:rsid w:val="00D90511"/>
    <w:rsid w:val="00DC70B8"/>
    <w:rsid w:val="00DD49D8"/>
    <w:rsid w:val="00DD5973"/>
    <w:rsid w:val="00DE3DCE"/>
    <w:rsid w:val="00DF45B8"/>
    <w:rsid w:val="00E00728"/>
    <w:rsid w:val="00E020DA"/>
    <w:rsid w:val="00E35F2B"/>
    <w:rsid w:val="00E6639E"/>
    <w:rsid w:val="00E812EE"/>
    <w:rsid w:val="00E8191F"/>
    <w:rsid w:val="00E939CE"/>
    <w:rsid w:val="00E95F7C"/>
    <w:rsid w:val="00EA091A"/>
    <w:rsid w:val="00EA338E"/>
    <w:rsid w:val="00EF5E39"/>
    <w:rsid w:val="00F31662"/>
    <w:rsid w:val="00F67DC6"/>
    <w:rsid w:val="00F800F4"/>
    <w:rsid w:val="00F90CCA"/>
    <w:rsid w:val="00FA4383"/>
    <w:rsid w:val="00FB0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9"/>
    <w:rPr>
      <w:lang w:eastAsia="fr-FR"/>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sz w:val="22"/>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sz w:val="22"/>
      <w:szCs w:val="22"/>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spacing w:after="200" w:line="276" w:lineRule="auto"/>
      <w:ind w:left="720"/>
      <w:contextualSpacing/>
    </w:pPr>
    <w:rPr>
      <w:rFonts w:ascii="Calibri" w:eastAsia="Calibri" w:hAnsi="Calibri"/>
      <w:sz w:val="22"/>
      <w:szCs w:val="22"/>
    </w:rPr>
  </w:style>
  <w:style w:type="paragraph" w:styleId="En-ttedetabledesmatires">
    <w:name w:val="TOC Heading"/>
    <w:basedOn w:val="Titre1"/>
    <w:next w:val="Normal"/>
    <w:uiPriority w:val="39"/>
    <w:semiHidden/>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EA338E"/>
    <w:pPr>
      <w:pBdr>
        <w:bottom w:val="single" w:sz="4" w:space="1" w:color="auto"/>
      </w:pBdr>
      <w:spacing w:before="40" w:after="40"/>
      <w:jc w:val="both"/>
    </w:pPr>
    <w:rPr>
      <w:rFonts w:asciiTheme="minorHAnsi" w:hAnsiTheme="minorHAnsi" w:cstheme="minorHAnsi"/>
      <w:b/>
      <w:color w:val="000000" w:themeColor="text1"/>
    </w:rPr>
  </w:style>
  <w:style w:type="character" w:customStyle="1" w:styleId="0ENTETECar">
    <w:name w:val="0 ENTETE Car"/>
    <w:basedOn w:val="Policepardfaut"/>
    <w:link w:val="0ENTETE"/>
    <w:rsid w:val="00EA338E"/>
    <w:rPr>
      <w:rFonts w:asciiTheme="minorHAnsi" w:hAnsiTheme="minorHAnsi" w:cstheme="minorHAnsi"/>
      <w:b/>
      <w:color w:val="000000" w:themeColor="text1"/>
      <w:sz w:val="24"/>
    </w:rPr>
  </w:style>
  <w:style w:type="paragraph" w:customStyle="1" w:styleId="1NIV1">
    <w:name w:val="1 NIV 1"/>
    <w:basedOn w:val="Normal"/>
    <w:link w:val="1NIV1Car"/>
    <w:qFormat/>
    <w:rsid w:val="00EA338E"/>
    <w:pPr>
      <w:spacing w:before="40" w:after="40"/>
      <w:jc w:val="both"/>
    </w:pPr>
    <w:rPr>
      <w:rFonts w:asciiTheme="minorHAnsi" w:hAnsiTheme="minorHAnsi" w:cstheme="minorHAnsi"/>
      <w:b/>
      <w:sz w:val="22"/>
      <w:u w:val="single"/>
    </w:rPr>
  </w:style>
  <w:style w:type="character" w:customStyle="1" w:styleId="1NIV1Car">
    <w:name w:val="1 NIV 1 Car"/>
    <w:basedOn w:val="Policepardfaut"/>
    <w:link w:val="1NIV1"/>
    <w:rsid w:val="00EA338E"/>
    <w:rPr>
      <w:rFonts w:asciiTheme="minorHAnsi" w:hAnsiTheme="minorHAnsi" w:cstheme="minorHAnsi"/>
      <w:b/>
      <w:sz w:val="22"/>
      <w:u w:val="single"/>
    </w:rPr>
  </w:style>
  <w:style w:type="paragraph" w:customStyle="1" w:styleId="2NIV2">
    <w:name w:val="2 NIV 2"/>
    <w:basedOn w:val="Normal"/>
    <w:link w:val="2NIV2Car"/>
    <w:qFormat/>
    <w:rsid w:val="00EA338E"/>
    <w:pPr>
      <w:spacing w:before="40" w:after="40"/>
      <w:jc w:val="both"/>
    </w:pPr>
    <w:rPr>
      <w:rFonts w:asciiTheme="minorHAnsi" w:hAnsiTheme="minorHAnsi" w:cstheme="minorHAnsi"/>
      <w:b/>
      <w:sz w:val="22"/>
      <w:u w:val="single"/>
    </w:rPr>
  </w:style>
  <w:style w:type="character" w:customStyle="1" w:styleId="2NIV2Car">
    <w:name w:val="2 NIV 2 Car"/>
    <w:basedOn w:val="Policepardfaut"/>
    <w:link w:val="2NIV2"/>
    <w:rsid w:val="00EA338E"/>
    <w:rPr>
      <w:rFonts w:asciiTheme="minorHAnsi" w:hAnsiTheme="minorHAnsi" w:cstheme="minorHAnsi"/>
      <w:b/>
      <w:sz w:val="22"/>
      <w:u w:val="single"/>
    </w:rPr>
  </w:style>
  <w:style w:type="paragraph" w:customStyle="1" w:styleId="3NIV3">
    <w:name w:val="3 NIV 3"/>
    <w:basedOn w:val="Normal"/>
    <w:link w:val="3NIV3Car"/>
    <w:qFormat/>
    <w:rsid w:val="00EA338E"/>
    <w:pPr>
      <w:spacing w:before="40" w:after="40"/>
      <w:jc w:val="both"/>
    </w:pPr>
    <w:rPr>
      <w:rFonts w:asciiTheme="minorHAnsi" w:hAnsiTheme="minorHAnsi" w:cstheme="minorHAnsi"/>
      <w:b/>
      <w:sz w:val="22"/>
    </w:rPr>
  </w:style>
  <w:style w:type="character" w:customStyle="1" w:styleId="3NIV3Car">
    <w:name w:val="3 NIV 3 Car"/>
    <w:basedOn w:val="Policepardfaut"/>
    <w:link w:val="3NIV3"/>
    <w:rsid w:val="00EA338E"/>
    <w:rPr>
      <w:rFonts w:asciiTheme="minorHAnsi" w:hAnsiTheme="minorHAnsi" w:cstheme="minorHAnsi"/>
      <w:b/>
      <w:sz w:val="22"/>
    </w:rPr>
  </w:style>
  <w:style w:type="paragraph" w:customStyle="1" w:styleId="Paragraphecommentaire">
    <w:name w:val="Paragraphe commentaire"/>
    <w:basedOn w:val="Paragraphedeliste"/>
    <w:link w:val="ParagraphecommentaireCar"/>
    <w:qFormat/>
    <w:rsid w:val="00EA338E"/>
    <w:pPr>
      <w:spacing w:before="120" w:after="40"/>
      <w:ind w:left="284" w:hanging="284"/>
      <w:contextualSpacing w:val="0"/>
      <w:jc w:val="both"/>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spacing w:before="40" w:after="40"/>
    </w:pPr>
    <w:rPr>
      <w:rFonts w:asciiTheme="minorHAnsi" w:hAnsiTheme="minorHAnsi" w:cstheme="minorHAnsi"/>
      <w:b/>
      <w:color w:val="984806" w:themeColor="accent6" w:themeShade="8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spacing w:before="40" w:after="40"/>
    </w:pPr>
    <w:rPr>
      <w:rFonts w:asciiTheme="minorHAnsi" w:hAnsiTheme="minorHAnsi" w:cstheme="minorHAnsi"/>
      <w:b/>
      <w:bCs/>
      <w:iCs/>
      <w:color w:val="00660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A338E"/>
    <w:pPr>
      <w:spacing w:before="40" w:after="40"/>
      <w:ind w:left="567" w:hanging="284"/>
      <w:contextualSpacing w:val="0"/>
      <w:jc w:val="both"/>
    </w:pPr>
    <w:rPr>
      <w:rFonts w:asciiTheme="minorHAnsi" w:eastAsia="Times New Roman" w:hAnsiTheme="minorHAnsi" w:cstheme="minorHAnsi"/>
    </w:rPr>
  </w:style>
  <w:style w:type="character" w:customStyle="1" w:styleId="ListenormaleCar">
    <w:name w:val="Liste normale Car"/>
    <w:basedOn w:val="ParagraphedelisteCar"/>
    <w:link w:val="Listenormale"/>
    <w:rsid w:val="00EA338E"/>
    <w:rPr>
      <w:rFonts w:asciiTheme="minorHAnsi" w:eastAsia="Calibri" w:hAnsiTheme="minorHAnsi" w:cstheme="minorHAns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pPr>
      <w:spacing w:before="120" w:after="120"/>
    </w:pPr>
    <w:rPr>
      <w:b/>
      <w:bCs/>
    </w:rPr>
  </w:style>
  <w:style w:type="paragraph" w:styleId="Sous-titre">
    <w:name w:val="Subtitle"/>
    <w:basedOn w:val="Normal"/>
    <w:link w:val="Sous-titreCar"/>
    <w:uiPriority w:val="11"/>
    <w:qFormat/>
    <w:rsid w:val="00EA338E"/>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4D0CA0"/>
    <w:rPr>
      <w:color w:val="0000FF" w:themeColor="hyperlink"/>
      <w:u w:val="single"/>
    </w:rPr>
  </w:style>
  <w:style w:type="character" w:customStyle="1" w:styleId="gd">
    <w:name w:val="gd"/>
    <w:basedOn w:val="Policepardfaut"/>
    <w:rsid w:val="00903BEA"/>
  </w:style>
  <w:style w:type="character" w:styleId="Marquedecommentaire">
    <w:name w:val="annotation reference"/>
    <w:basedOn w:val="Policepardfaut"/>
    <w:uiPriority w:val="99"/>
    <w:semiHidden/>
    <w:unhideWhenUsed/>
    <w:rsid w:val="00B35350"/>
    <w:rPr>
      <w:sz w:val="16"/>
      <w:szCs w:val="16"/>
    </w:rPr>
  </w:style>
  <w:style w:type="paragraph" w:styleId="Commentaire">
    <w:name w:val="annotation text"/>
    <w:basedOn w:val="Normal"/>
    <w:link w:val="CommentaireCar"/>
    <w:uiPriority w:val="99"/>
    <w:semiHidden/>
    <w:unhideWhenUsed/>
    <w:rsid w:val="00B35350"/>
  </w:style>
  <w:style w:type="character" w:customStyle="1" w:styleId="CommentaireCar">
    <w:name w:val="Commentaire Car"/>
    <w:basedOn w:val="Policepardfaut"/>
    <w:link w:val="Commentaire"/>
    <w:uiPriority w:val="99"/>
    <w:semiHidden/>
    <w:rsid w:val="00B35350"/>
    <w:rPr>
      <w:lang w:eastAsia="fr-FR"/>
    </w:rPr>
  </w:style>
  <w:style w:type="paragraph" w:styleId="Objetducommentaire">
    <w:name w:val="annotation subject"/>
    <w:basedOn w:val="Commentaire"/>
    <w:next w:val="Commentaire"/>
    <w:link w:val="ObjetducommentaireCar"/>
    <w:uiPriority w:val="99"/>
    <w:semiHidden/>
    <w:unhideWhenUsed/>
    <w:rsid w:val="00B35350"/>
    <w:rPr>
      <w:b/>
      <w:bCs/>
    </w:rPr>
  </w:style>
  <w:style w:type="character" w:customStyle="1" w:styleId="ObjetducommentaireCar">
    <w:name w:val="Objet du commentaire Car"/>
    <w:basedOn w:val="CommentaireCar"/>
    <w:link w:val="Objetducommentaire"/>
    <w:uiPriority w:val="99"/>
    <w:semiHidden/>
    <w:rsid w:val="00B35350"/>
    <w:rPr>
      <w:b/>
      <w:bCs/>
      <w:lang w:eastAsia="fr-FR"/>
    </w:rPr>
  </w:style>
  <w:style w:type="paragraph" w:styleId="Textedebulles">
    <w:name w:val="Balloon Text"/>
    <w:basedOn w:val="Normal"/>
    <w:link w:val="TextedebullesCar"/>
    <w:uiPriority w:val="99"/>
    <w:semiHidden/>
    <w:unhideWhenUsed/>
    <w:rsid w:val="00B35350"/>
    <w:rPr>
      <w:rFonts w:ascii="Tahoma" w:hAnsi="Tahoma" w:cs="Tahoma"/>
      <w:sz w:val="16"/>
      <w:szCs w:val="16"/>
    </w:rPr>
  </w:style>
  <w:style w:type="character" w:customStyle="1" w:styleId="TextedebullesCar">
    <w:name w:val="Texte de bulles Car"/>
    <w:basedOn w:val="Policepardfaut"/>
    <w:link w:val="Textedebulles"/>
    <w:uiPriority w:val="99"/>
    <w:semiHidden/>
    <w:rsid w:val="00B35350"/>
    <w:rPr>
      <w:rFonts w:ascii="Tahoma" w:hAnsi="Tahoma" w:cs="Tahoma"/>
      <w:sz w:val="16"/>
      <w:szCs w:val="16"/>
      <w:lang w:eastAsia="fr-FR"/>
    </w:rPr>
  </w:style>
  <w:style w:type="table" w:styleId="Grilledutableau">
    <w:name w:val="Table Grid"/>
    <w:basedOn w:val="TableauNormal"/>
    <w:rsid w:val="00B307A2"/>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271C"/>
    <w:pPr>
      <w:tabs>
        <w:tab w:val="center" w:pos="4536"/>
        <w:tab w:val="right" w:pos="9072"/>
      </w:tabs>
    </w:pPr>
  </w:style>
  <w:style w:type="character" w:customStyle="1" w:styleId="En-tteCar">
    <w:name w:val="En-tête Car"/>
    <w:basedOn w:val="Policepardfaut"/>
    <w:link w:val="En-tte"/>
    <w:uiPriority w:val="99"/>
    <w:rsid w:val="002D271C"/>
    <w:rPr>
      <w:lang w:eastAsia="fr-FR"/>
    </w:rPr>
  </w:style>
  <w:style w:type="paragraph" w:styleId="Pieddepage">
    <w:name w:val="footer"/>
    <w:basedOn w:val="Normal"/>
    <w:link w:val="PieddepageCar"/>
    <w:uiPriority w:val="99"/>
    <w:unhideWhenUsed/>
    <w:rsid w:val="002D271C"/>
    <w:pPr>
      <w:tabs>
        <w:tab w:val="center" w:pos="4536"/>
        <w:tab w:val="right" w:pos="9072"/>
      </w:tabs>
    </w:pPr>
  </w:style>
  <w:style w:type="character" w:customStyle="1" w:styleId="PieddepageCar">
    <w:name w:val="Pied de page Car"/>
    <w:basedOn w:val="Policepardfaut"/>
    <w:link w:val="Pieddepage"/>
    <w:uiPriority w:val="99"/>
    <w:rsid w:val="002D271C"/>
    <w:rPr>
      <w:lang w:eastAsia="fr-FR"/>
    </w:rPr>
  </w:style>
  <w:style w:type="character" w:styleId="Textedelespacerserv">
    <w:name w:val="Placeholder Text"/>
    <w:basedOn w:val="Policepardfaut"/>
    <w:uiPriority w:val="99"/>
    <w:semiHidden/>
    <w:rsid w:val="00B61D03"/>
    <w:rPr>
      <w:color w:val="808080"/>
    </w:rPr>
  </w:style>
  <w:style w:type="paragraph" w:styleId="Corpsdetexte">
    <w:name w:val="Body Text"/>
    <w:basedOn w:val="Normal"/>
    <w:link w:val="CorpsdetexteCar"/>
    <w:rsid w:val="00E00728"/>
    <w:pPr>
      <w:widowControl w:val="0"/>
      <w:spacing w:before="120" w:after="120" w:line="245" w:lineRule="auto"/>
      <w:ind w:left="851"/>
      <w:jc w:val="both"/>
    </w:pPr>
    <w:rPr>
      <w:sz w:val="22"/>
      <w:szCs w:val="22"/>
      <w:lang w:eastAsia="en-US"/>
    </w:rPr>
  </w:style>
  <w:style w:type="character" w:customStyle="1" w:styleId="CorpsdetexteCar">
    <w:name w:val="Corps de texte Car"/>
    <w:basedOn w:val="Policepardfaut"/>
    <w:link w:val="Corpsdetexte"/>
    <w:rsid w:val="00E007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9"/>
    <w:rPr>
      <w:lang w:eastAsia="fr-FR"/>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sz w:val="22"/>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sz w:val="22"/>
      <w:szCs w:val="22"/>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spacing w:after="200" w:line="276" w:lineRule="auto"/>
      <w:ind w:left="720"/>
      <w:contextualSpacing/>
    </w:pPr>
    <w:rPr>
      <w:rFonts w:ascii="Calibri" w:eastAsia="Calibri" w:hAnsi="Calibri"/>
      <w:sz w:val="22"/>
      <w:szCs w:val="22"/>
    </w:rPr>
  </w:style>
  <w:style w:type="paragraph" w:styleId="En-ttedetabledesmatires">
    <w:name w:val="TOC Heading"/>
    <w:basedOn w:val="Titre1"/>
    <w:next w:val="Normal"/>
    <w:uiPriority w:val="39"/>
    <w:semiHidden/>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EA338E"/>
    <w:pPr>
      <w:pBdr>
        <w:bottom w:val="single" w:sz="4" w:space="1" w:color="auto"/>
      </w:pBdr>
      <w:spacing w:before="40" w:after="40"/>
      <w:jc w:val="both"/>
    </w:pPr>
    <w:rPr>
      <w:rFonts w:asciiTheme="minorHAnsi" w:hAnsiTheme="minorHAnsi" w:cstheme="minorHAnsi"/>
      <w:b/>
      <w:color w:val="000000" w:themeColor="text1"/>
    </w:rPr>
  </w:style>
  <w:style w:type="character" w:customStyle="1" w:styleId="0ENTETECar">
    <w:name w:val="0 ENTETE Car"/>
    <w:basedOn w:val="Policepardfaut"/>
    <w:link w:val="0ENTETE"/>
    <w:rsid w:val="00EA338E"/>
    <w:rPr>
      <w:rFonts w:asciiTheme="minorHAnsi" w:hAnsiTheme="minorHAnsi" w:cstheme="minorHAnsi"/>
      <w:b/>
      <w:color w:val="000000" w:themeColor="text1"/>
      <w:sz w:val="24"/>
    </w:rPr>
  </w:style>
  <w:style w:type="paragraph" w:customStyle="1" w:styleId="1NIV1">
    <w:name w:val="1 NIV 1"/>
    <w:basedOn w:val="Normal"/>
    <w:link w:val="1NIV1Car"/>
    <w:qFormat/>
    <w:rsid w:val="00EA338E"/>
    <w:pPr>
      <w:spacing w:before="40" w:after="40"/>
      <w:jc w:val="both"/>
    </w:pPr>
    <w:rPr>
      <w:rFonts w:asciiTheme="minorHAnsi" w:hAnsiTheme="minorHAnsi" w:cstheme="minorHAnsi"/>
      <w:b/>
      <w:sz w:val="22"/>
      <w:u w:val="single"/>
    </w:rPr>
  </w:style>
  <w:style w:type="character" w:customStyle="1" w:styleId="1NIV1Car">
    <w:name w:val="1 NIV 1 Car"/>
    <w:basedOn w:val="Policepardfaut"/>
    <w:link w:val="1NIV1"/>
    <w:rsid w:val="00EA338E"/>
    <w:rPr>
      <w:rFonts w:asciiTheme="minorHAnsi" w:hAnsiTheme="minorHAnsi" w:cstheme="minorHAnsi"/>
      <w:b/>
      <w:sz w:val="22"/>
      <w:u w:val="single"/>
    </w:rPr>
  </w:style>
  <w:style w:type="paragraph" w:customStyle="1" w:styleId="2NIV2">
    <w:name w:val="2 NIV 2"/>
    <w:basedOn w:val="Normal"/>
    <w:link w:val="2NIV2Car"/>
    <w:qFormat/>
    <w:rsid w:val="00EA338E"/>
    <w:pPr>
      <w:spacing w:before="40" w:after="40"/>
      <w:jc w:val="both"/>
    </w:pPr>
    <w:rPr>
      <w:rFonts w:asciiTheme="minorHAnsi" w:hAnsiTheme="minorHAnsi" w:cstheme="minorHAnsi"/>
      <w:b/>
      <w:sz w:val="22"/>
      <w:u w:val="single"/>
    </w:rPr>
  </w:style>
  <w:style w:type="character" w:customStyle="1" w:styleId="2NIV2Car">
    <w:name w:val="2 NIV 2 Car"/>
    <w:basedOn w:val="Policepardfaut"/>
    <w:link w:val="2NIV2"/>
    <w:rsid w:val="00EA338E"/>
    <w:rPr>
      <w:rFonts w:asciiTheme="minorHAnsi" w:hAnsiTheme="minorHAnsi" w:cstheme="minorHAnsi"/>
      <w:b/>
      <w:sz w:val="22"/>
      <w:u w:val="single"/>
    </w:rPr>
  </w:style>
  <w:style w:type="paragraph" w:customStyle="1" w:styleId="3NIV3">
    <w:name w:val="3 NIV 3"/>
    <w:basedOn w:val="Normal"/>
    <w:link w:val="3NIV3Car"/>
    <w:qFormat/>
    <w:rsid w:val="00EA338E"/>
    <w:pPr>
      <w:spacing w:before="40" w:after="40"/>
      <w:jc w:val="both"/>
    </w:pPr>
    <w:rPr>
      <w:rFonts w:asciiTheme="minorHAnsi" w:hAnsiTheme="minorHAnsi" w:cstheme="minorHAnsi"/>
      <w:b/>
      <w:sz w:val="22"/>
    </w:rPr>
  </w:style>
  <w:style w:type="character" w:customStyle="1" w:styleId="3NIV3Car">
    <w:name w:val="3 NIV 3 Car"/>
    <w:basedOn w:val="Policepardfaut"/>
    <w:link w:val="3NIV3"/>
    <w:rsid w:val="00EA338E"/>
    <w:rPr>
      <w:rFonts w:asciiTheme="minorHAnsi" w:hAnsiTheme="minorHAnsi" w:cstheme="minorHAnsi"/>
      <w:b/>
      <w:sz w:val="22"/>
    </w:rPr>
  </w:style>
  <w:style w:type="paragraph" w:customStyle="1" w:styleId="Paragraphecommentaire">
    <w:name w:val="Paragraphe commentaire"/>
    <w:basedOn w:val="Paragraphedeliste"/>
    <w:link w:val="ParagraphecommentaireCar"/>
    <w:qFormat/>
    <w:rsid w:val="00EA338E"/>
    <w:pPr>
      <w:spacing w:before="120" w:after="40"/>
      <w:ind w:left="284" w:hanging="284"/>
      <w:contextualSpacing w:val="0"/>
      <w:jc w:val="both"/>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spacing w:before="40" w:after="40"/>
    </w:pPr>
    <w:rPr>
      <w:rFonts w:asciiTheme="minorHAnsi" w:hAnsiTheme="minorHAnsi" w:cstheme="minorHAnsi"/>
      <w:b/>
      <w:color w:val="984806" w:themeColor="accent6" w:themeShade="8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spacing w:before="40" w:after="40"/>
    </w:pPr>
    <w:rPr>
      <w:rFonts w:asciiTheme="minorHAnsi" w:hAnsiTheme="minorHAnsi" w:cstheme="minorHAnsi"/>
      <w:b/>
      <w:bCs/>
      <w:iCs/>
      <w:color w:val="00660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A338E"/>
    <w:pPr>
      <w:spacing w:before="40" w:after="40"/>
      <w:ind w:left="567" w:hanging="284"/>
      <w:contextualSpacing w:val="0"/>
      <w:jc w:val="both"/>
    </w:pPr>
    <w:rPr>
      <w:rFonts w:asciiTheme="minorHAnsi" w:eastAsia="Times New Roman" w:hAnsiTheme="minorHAnsi" w:cstheme="minorHAnsi"/>
    </w:rPr>
  </w:style>
  <w:style w:type="character" w:customStyle="1" w:styleId="ListenormaleCar">
    <w:name w:val="Liste normale Car"/>
    <w:basedOn w:val="ParagraphedelisteCar"/>
    <w:link w:val="Listenormale"/>
    <w:rsid w:val="00EA338E"/>
    <w:rPr>
      <w:rFonts w:asciiTheme="minorHAnsi" w:eastAsia="Calibri" w:hAnsiTheme="minorHAnsi" w:cstheme="minorHAns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pPr>
      <w:spacing w:before="120" w:after="120"/>
    </w:pPr>
    <w:rPr>
      <w:b/>
      <w:bCs/>
    </w:rPr>
  </w:style>
  <w:style w:type="paragraph" w:styleId="Sous-titre">
    <w:name w:val="Subtitle"/>
    <w:basedOn w:val="Normal"/>
    <w:link w:val="Sous-titreCar"/>
    <w:uiPriority w:val="11"/>
    <w:qFormat/>
    <w:rsid w:val="00EA338E"/>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4D0CA0"/>
    <w:rPr>
      <w:color w:val="0000FF" w:themeColor="hyperlink"/>
      <w:u w:val="single"/>
    </w:rPr>
  </w:style>
  <w:style w:type="character" w:customStyle="1" w:styleId="gd">
    <w:name w:val="gd"/>
    <w:basedOn w:val="Policepardfaut"/>
    <w:rsid w:val="00903BEA"/>
  </w:style>
  <w:style w:type="character" w:styleId="Marquedecommentaire">
    <w:name w:val="annotation reference"/>
    <w:basedOn w:val="Policepardfaut"/>
    <w:uiPriority w:val="99"/>
    <w:semiHidden/>
    <w:unhideWhenUsed/>
    <w:rsid w:val="00B35350"/>
    <w:rPr>
      <w:sz w:val="16"/>
      <w:szCs w:val="16"/>
    </w:rPr>
  </w:style>
  <w:style w:type="paragraph" w:styleId="Commentaire">
    <w:name w:val="annotation text"/>
    <w:basedOn w:val="Normal"/>
    <w:link w:val="CommentaireCar"/>
    <w:uiPriority w:val="99"/>
    <w:semiHidden/>
    <w:unhideWhenUsed/>
    <w:rsid w:val="00B35350"/>
  </w:style>
  <w:style w:type="character" w:customStyle="1" w:styleId="CommentaireCar">
    <w:name w:val="Commentaire Car"/>
    <w:basedOn w:val="Policepardfaut"/>
    <w:link w:val="Commentaire"/>
    <w:uiPriority w:val="99"/>
    <w:semiHidden/>
    <w:rsid w:val="00B35350"/>
    <w:rPr>
      <w:lang w:eastAsia="fr-FR"/>
    </w:rPr>
  </w:style>
  <w:style w:type="paragraph" w:styleId="Objetducommentaire">
    <w:name w:val="annotation subject"/>
    <w:basedOn w:val="Commentaire"/>
    <w:next w:val="Commentaire"/>
    <w:link w:val="ObjetducommentaireCar"/>
    <w:uiPriority w:val="99"/>
    <w:semiHidden/>
    <w:unhideWhenUsed/>
    <w:rsid w:val="00B35350"/>
    <w:rPr>
      <w:b/>
      <w:bCs/>
    </w:rPr>
  </w:style>
  <w:style w:type="character" w:customStyle="1" w:styleId="ObjetducommentaireCar">
    <w:name w:val="Objet du commentaire Car"/>
    <w:basedOn w:val="CommentaireCar"/>
    <w:link w:val="Objetducommentaire"/>
    <w:uiPriority w:val="99"/>
    <w:semiHidden/>
    <w:rsid w:val="00B35350"/>
    <w:rPr>
      <w:b/>
      <w:bCs/>
      <w:lang w:eastAsia="fr-FR"/>
    </w:rPr>
  </w:style>
  <w:style w:type="paragraph" w:styleId="Textedebulles">
    <w:name w:val="Balloon Text"/>
    <w:basedOn w:val="Normal"/>
    <w:link w:val="TextedebullesCar"/>
    <w:uiPriority w:val="99"/>
    <w:semiHidden/>
    <w:unhideWhenUsed/>
    <w:rsid w:val="00B35350"/>
    <w:rPr>
      <w:rFonts w:ascii="Tahoma" w:hAnsi="Tahoma" w:cs="Tahoma"/>
      <w:sz w:val="16"/>
      <w:szCs w:val="16"/>
    </w:rPr>
  </w:style>
  <w:style w:type="character" w:customStyle="1" w:styleId="TextedebullesCar">
    <w:name w:val="Texte de bulles Car"/>
    <w:basedOn w:val="Policepardfaut"/>
    <w:link w:val="Textedebulles"/>
    <w:uiPriority w:val="99"/>
    <w:semiHidden/>
    <w:rsid w:val="00B35350"/>
    <w:rPr>
      <w:rFonts w:ascii="Tahoma" w:hAnsi="Tahoma" w:cs="Tahoma"/>
      <w:sz w:val="16"/>
      <w:szCs w:val="16"/>
      <w:lang w:eastAsia="fr-FR"/>
    </w:rPr>
  </w:style>
  <w:style w:type="table" w:styleId="Grilledutableau">
    <w:name w:val="Table Grid"/>
    <w:basedOn w:val="TableauNormal"/>
    <w:rsid w:val="00B307A2"/>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271C"/>
    <w:pPr>
      <w:tabs>
        <w:tab w:val="center" w:pos="4536"/>
        <w:tab w:val="right" w:pos="9072"/>
      </w:tabs>
    </w:pPr>
  </w:style>
  <w:style w:type="character" w:customStyle="1" w:styleId="En-tteCar">
    <w:name w:val="En-tête Car"/>
    <w:basedOn w:val="Policepardfaut"/>
    <w:link w:val="En-tte"/>
    <w:uiPriority w:val="99"/>
    <w:rsid w:val="002D271C"/>
    <w:rPr>
      <w:lang w:eastAsia="fr-FR"/>
    </w:rPr>
  </w:style>
  <w:style w:type="paragraph" w:styleId="Pieddepage">
    <w:name w:val="footer"/>
    <w:basedOn w:val="Normal"/>
    <w:link w:val="PieddepageCar"/>
    <w:uiPriority w:val="99"/>
    <w:unhideWhenUsed/>
    <w:rsid w:val="002D271C"/>
    <w:pPr>
      <w:tabs>
        <w:tab w:val="center" w:pos="4536"/>
        <w:tab w:val="right" w:pos="9072"/>
      </w:tabs>
    </w:pPr>
  </w:style>
  <w:style w:type="character" w:customStyle="1" w:styleId="PieddepageCar">
    <w:name w:val="Pied de page Car"/>
    <w:basedOn w:val="Policepardfaut"/>
    <w:link w:val="Pieddepage"/>
    <w:uiPriority w:val="99"/>
    <w:rsid w:val="002D271C"/>
    <w:rPr>
      <w:lang w:eastAsia="fr-FR"/>
    </w:rPr>
  </w:style>
  <w:style w:type="character" w:styleId="Textedelespacerserv">
    <w:name w:val="Placeholder Text"/>
    <w:basedOn w:val="Policepardfaut"/>
    <w:uiPriority w:val="99"/>
    <w:semiHidden/>
    <w:rsid w:val="00B61D03"/>
    <w:rPr>
      <w:color w:val="808080"/>
    </w:rPr>
  </w:style>
  <w:style w:type="paragraph" w:styleId="Corpsdetexte">
    <w:name w:val="Body Text"/>
    <w:basedOn w:val="Normal"/>
    <w:link w:val="CorpsdetexteCar"/>
    <w:rsid w:val="00E00728"/>
    <w:pPr>
      <w:widowControl w:val="0"/>
      <w:spacing w:before="120" w:after="120" w:line="245" w:lineRule="auto"/>
      <w:ind w:left="851"/>
      <w:jc w:val="both"/>
    </w:pPr>
    <w:rPr>
      <w:sz w:val="22"/>
      <w:szCs w:val="22"/>
      <w:lang w:eastAsia="en-US"/>
    </w:rPr>
  </w:style>
  <w:style w:type="character" w:customStyle="1" w:styleId="CorpsdetexteCar">
    <w:name w:val="Corps de texte Car"/>
    <w:basedOn w:val="Policepardfaut"/>
    <w:link w:val="Corpsdetexte"/>
    <w:rsid w:val="00E00728"/>
    <w:rPr>
      <w:sz w:val="22"/>
      <w:szCs w:val="22"/>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4211">
      <w:bodyDiv w:val="1"/>
      <w:marLeft w:val="0"/>
      <w:marRight w:val="0"/>
      <w:marTop w:val="0"/>
      <w:marBottom w:val="0"/>
      <w:divBdr>
        <w:top w:val="none" w:sz="0" w:space="0" w:color="auto"/>
        <w:left w:val="none" w:sz="0" w:space="0" w:color="auto"/>
        <w:bottom w:val="none" w:sz="0" w:space="0" w:color="auto"/>
        <w:right w:val="none" w:sz="0" w:space="0" w:color="auto"/>
      </w:divBdr>
    </w:div>
    <w:div w:id="1067875538">
      <w:bodyDiv w:val="1"/>
      <w:marLeft w:val="0"/>
      <w:marRight w:val="0"/>
      <w:marTop w:val="0"/>
      <w:marBottom w:val="0"/>
      <w:divBdr>
        <w:top w:val="none" w:sz="0" w:space="0" w:color="auto"/>
        <w:left w:val="none" w:sz="0" w:space="0" w:color="auto"/>
        <w:bottom w:val="none" w:sz="0" w:space="0" w:color="auto"/>
        <w:right w:val="none" w:sz="0" w:space="0" w:color="auto"/>
      </w:divBdr>
    </w:div>
    <w:div w:id="1243951381">
      <w:bodyDiv w:val="1"/>
      <w:marLeft w:val="0"/>
      <w:marRight w:val="0"/>
      <w:marTop w:val="0"/>
      <w:marBottom w:val="0"/>
      <w:divBdr>
        <w:top w:val="none" w:sz="0" w:space="0" w:color="auto"/>
        <w:left w:val="none" w:sz="0" w:space="0" w:color="auto"/>
        <w:bottom w:val="none" w:sz="0" w:space="0" w:color="auto"/>
        <w:right w:val="none" w:sz="0" w:space="0" w:color="auto"/>
      </w:divBdr>
    </w:div>
    <w:div w:id="20431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DD19C59-644B-4C68-87CD-4EDCF1D0CCD7}"/>
      </w:docPartPr>
      <w:docPartBody>
        <w:p w:rsidR="00AA081D" w:rsidRDefault="00116195">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95"/>
    <w:rsid w:val="00116195"/>
    <w:rsid w:val="00741A75"/>
    <w:rsid w:val="008640A8"/>
    <w:rsid w:val="009E435B"/>
    <w:rsid w:val="00AA0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0A8"/>
    <w:rPr>
      <w:color w:val="808080"/>
    </w:rPr>
  </w:style>
  <w:style w:type="paragraph" w:customStyle="1" w:styleId="72C05C7A982C4777980D69F071056994">
    <w:name w:val="72C05C7A982C4777980D69F071056994"/>
    <w:rsid w:val="00741A75"/>
  </w:style>
  <w:style w:type="paragraph" w:customStyle="1" w:styleId="513B95668C3F437285D9B3339CF89586">
    <w:name w:val="513B95668C3F437285D9B3339CF89586"/>
    <w:rsid w:val="009E435B"/>
  </w:style>
  <w:style w:type="paragraph" w:customStyle="1" w:styleId="D7AAA2F9BCAF40E98A9296F41AB8E119">
    <w:name w:val="D7AAA2F9BCAF40E98A9296F41AB8E119"/>
    <w:rsid w:val="009E435B"/>
  </w:style>
  <w:style w:type="paragraph" w:customStyle="1" w:styleId="62DF809C1A074ED390503286F117EE97">
    <w:name w:val="62DF809C1A074ED390503286F117EE97"/>
    <w:rsid w:val="008640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0A8"/>
    <w:rPr>
      <w:color w:val="808080"/>
    </w:rPr>
  </w:style>
  <w:style w:type="paragraph" w:customStyle="1" w:styleId="72C05C7A982C4777980D69F071056994">
    <w:name w:val="72C05C7A982C4777980D69F071056994"/>
    <w:rsid w:val="00741A75"/>
  </w:style>
  <w:style w:type="paragraph" w:customStyle="1" w:styleId="513B95668C3F437285D9B3339CF89586">
    <w:name w:val="513B95668C3F437285D9B3339CF89586"/>
    <w:rsid w:val="009E435B"/>
  </w:style>
  <w:style w:type="paragraph" w:customStyle="1" w:styleId="D7AAA2F9BCAF40E98A9296F41AB8E119">
    <w:name w:val="D7AAA2F9BCAF40E98A9296F41AB8E119"/>
    <w:rsid w:val="009E435B"/>
  </w:style>
  <w:style w:type="paragraph" w:customStyle="1" w:styleId="62DF809C1A074ED390503286F117EE97">
    <w:name w:val="62DF809C1A074ED390503286F117EE97"/>
    <w:rsid w:val="00864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2922</Words>
  <Characters>16071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21</cp:revision>
  <dcterms:created xsi:type="dcterms:W3CDTF">2021-01-12T05:57:00Z</dcterms:created>
  <dcterms:modified xsi:type="dcterms:W3CDTF">2021-03-04T04:37:00Z</dcterms:modified>
</cp:coreProperties>
</file>